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AD4DB">
      <w:pPr>
        <w:jc w:val="distribute"/>
        <w:rPr>
          <w:rFonts w:ascii="宋体" w:hAnsi="宋体" w:eastAsia="宋体"/>
          <w:b/>
          <w:color w:val="FF0000"/>
          <w:w w:val="80"/>
          <w:sz w:val="100"/>
          <w:szCs w:val="100"/>
        </w:rPr>
      </w:pPr>
      <w:r>
        <w:rPr>
          <w:rFonts w:hint="eastAsia" w:ascii="方正小标宋_GBK" w:hAnsi="方正小标宋_GBK" w:eastAsia="方正小标宋_GBK" w:cs="方正小标宋_GBK"/>
          <w:b w:val="0"/>
          <w:bCs/>
          <w:color w:val="FF0000"/>
          <w:w w:val="80"/>
          <w:sz w:val="100"/>
          <w:szCs w:val="100"/>
        </w:rPr>
        <w:t xml:space="preserve">长春市林业和园林局 </w:t>
      </w:r>
      <w:r>
        <w:rPr>
          <w:rFonts w:hint="eastAsia" w:ascii="宋体" w:hAnsi="宋体" w:eastAsia="宋体"/>
          <w:b/>
          <w:color w:val="FF0000"/>
          <w:w w:val="80"/>
          <w:sz w:val="100"/>
          <w:szCs w:val="100"/>
        </w:rPr>
        <w:t xml:space="preserve"> </w:t>
      </w:r>
    </w:p>
    <w:p w14:paraId="51D0354B">
      <w:pPr>
        <w:spacing w:line="560" w:lineRule="exact"/>
        <w:jc w:val="center"/>
        <w:rPr>
          <w:rFonts w:hint="eastAsia" w:ascii="方正小标宋_GBK" w:hAnsi="方正小标宋_GBK" w:eastAsia="方正小标宋_GBK" w:cs="方正小标宋_GBK"/>
          <w:b w:val="0"/>
          <w:bCs w:val="0"/>
          <w:sz w:val="32"/>
          <w:szCs w:val="32"/>
        </w:rPr>
      </w:pPr>
      <w:r>
        <w:rPr>
          <w:rFonts w:ascii="宋体" w:hAnsi="宋体" w:eastAsia="宋体"/>
          <w:b/>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275590</wp:posOffset>
                </wp:positionV>
                <wp:extent cx="5928360" cy="0"/>
                <wp:effectExtent l="0" t="19050" r="15240" b="19050"/>
                <wp:wrapNone/>
                <wp:docPr id="1" name="直接连接符 1"/>
                <wp:cNvGraphicFramePr/>
                <a:graphic xmlns:a="http://schemas.openxmlformats.org/drawingml/2006/main">
                  <a:graphicData uri="http://schemas.microsoft.com/office/word/2010/wordprocessingShape">
                    <wps:wsp>
                      <wps:cNvCnPr/>
                      <wps:spPr>
                        <a:xfrm>
                          <a:off x="0" y="0"/>
                          <a:ext cx="5928189"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3.05pt;margin-top:21.7pt;height:0pt;width:466.8pt;z-index:251660288;mso-width-relative:page;mso-height-relative:page;" filled="f" stroked="t" coordsize="21600,21600" o:gfxdata="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IYf/cAAAA&#10;CQEAAA8AAAAAAAAAAQAgAAAAIgAAAGRycy9kb3ducmV2LnhtbFBLAQIUABQAAAAIAIdO4kAw+Cl+&#10;4AEAAKkDAAAOAAAAAAAAAAEAIAAAACsBAABkcnMvZTJvRG9jLnhtbFBLBQYAAAAABgAGAFkBAAB9&#10;BQAAAAA=&#10;">
                <v:fill on="f" focussize="0,0"/>
                <v:stroke weight="3pt" color="#FF0000" joinstyle="round"/>
                <v:imagedata o:title=""/>
                <o:lock v:ext="edit" aspectratio="f"/>
              </v:line>
            </w:pict>
          </mc:Fallback>
        </mc:AlternateContent>
      </w:r>
      <w:r>
        <w:rPr>
          <w:rFonts w:hint="eastAsia"/>
          <w:sz w:val="32"/>
          <w:szCs w:val="32"/>
        </w:rPr>
        <w:tab/>
      </w:r>
    </w:p>
    <w:p w14:paraId="2AB402BD">
      <w:pPr>
        <w:spacing w:line="560" w:lineRule="exact"/>
        <w:rPr>
          <w:rFonts w:hint="eastAsia"/>
          <w:b/>
          <w:bCs/>
          <w:sz w:val="44"/>
          <w:szCs w:val="44"/>
        </w:rPr>
      </w:pPr>
    </w:p>
    <w:p w14:paraId="18D8DC3F">
      <w:pPr>
        <w:spacing w:line="560" w:lineRule="exact"/>
        <w:jc w:val="center"/>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长春市林业和园林局</w:t>
      </w:r>
    </w:p>
    <w:p w14:paraId="26C911BE">
      <w:pPr>
        <w:wordWrap/>
        <w:spacing w:line="560" w:lineRule="exact"/>
        <w:ind w:firstLine="880" w:firstLineChars="200"/>
        <w:jc w:val="left"/>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2024年度法治政府建设情况工作报告</w:t>
      </w:r>
    </w:p>
    <w:bookmarkEnd w:id="0"/>
    <w:p w14:paraId="52A078F0">
      <w:pPr>
        <w:wordWrap/>
        <w:spacing w:line="560" w:lineRule="exact"/>
        <w:ind w:firstLine="880" w:firstLineChars="200"/>
        <w:jc w:val="left"/>
        <w:rPr>
          <w:rFonts w:hint="eastAsia" w:ascii="方正小标宋_GBK" w:hAnsi="方正小标宋_GBK" w:eastAsia="方正小标宋_GBK" w:cs="方正小标宋_GBK"/>
          <w:sz w:val="44"/>
          <w:szCs w:val="44"/>
          <w:lang w:val="en-US" w:eastAsia="zh-CN"/>
        </w:rPr>
      </w:pPr>
    </w:p>
    <w:p w14:paraId="5CEDC720">
      <w:pPr>
        <w:ind w:firstLine="640"/>
        <w:jc w:val="left"/>
        <w:rPr>
          <w:rFonts w:hint="eastAsia" w:ascii="仿宋" w:hAnsi="仿宋" w:eastAsia="仿宋" w:cs="仿宋"/>
          <w:sz w:val="32"/>
          <w:szCs w:val="40"/>
        </w:rPr>
      </w:pPr>
      <w:r>
        <w:rPr>
          <w:rFonts w:hint="eastAsia" w:ascii="仿宋" w:hAnsi="仿宋" w:eastAsia="仿宋" w:cs="仿宋"/>
          <w:sz w:val="32"/>
          <w:szCs w:val="40"/>
        </w:rPr>
        <w:t>20</w:t>
      </w:r>
      <w:r>
        <w:rPr>
          <w:rFonts w:hint="eastAsia" w:ascii="仿宋" w:hAnsi="仿宋" w:eastAsia="仿宋" w:cs="仿宋"/>
          <w:sz w:val="32"/>
          <w:szCs w:val="40"/>
          <w:lang w:val="en-US" w:eastAsia="zh-CN"/>
        </w:rPr>
        <w:t>24</w:t>
      </w:r>
      <w:r>
        <w:rPr>
          <w:rFonts w:hint="eastAsia" w:ascii="仿宋" w:hAnsi="仿宋" w:eastAsia="仿宋" w:cs="仿宋"/>
          <w:sz w:val="32"/>
          <w:szCs w:val="40"/>
        </w:rPr>
        <w:t>年</w:t>
      </w:r>
      <w:r>
        <w:rPr>
          <w:rFonts w:hint="eastAsia" w:ascii="仿宋" w:hAnsi="仿宋" w:eastAsia="仿宋" w:cs="仿宋"/>
          <w:sz w:val="32"/>
          <w:szCs w:val="40"/>
          <w:lang w:eastAsia="zh-CN"/>
        </w:rPr>
        <w:t>，我局</w:t>
      </w:r>
      <w:r>
        <w:rPr>
          <w:rFonts w:hint="eastAsia" w:ascii="仿宋" w:hAnsi="仿宋" w:eastAsia="仿宋" w:cs="仿宋"/>
          <w:sz w:val="32"/>
          <w:szCs w:val="40"/>
        </w:rPr>
        <w:t>认真贯彻习近平法治思想、党的二十大精神，结合</w:t>
      </w:r>
      <w:r>
        <w:rPr>
          <w:rFonts w:hint="eastAsia" w:ascii="仿宋" w:hAnsi="仿宋" w:eastAsia="仿宋" w:cs="仿宋"/>
          <w:sz w:val="32"/>
          <w:szCs w:val="40"/>
          <w:lang w:val="en-US" w:eastAsia="zh-CN"/>
        </w:rPr>
        <w:t>市委全面依法治市委员会2024年工作要点</w:t>
      </w:r>
      <w:r>
        <w:rPr>
          <w:rFonts w:hint="eastAsia" w:ascii="仿宋" w:hAnsi="仿宋" w:eastAsia="仿宋" w:cs="仿宋"/>
          <w:sz w:val="32"/>
          <w:szCs w:val="40"/>
        </w:rPr>
        <w:t>，以及《法治政府建设与责任落实督察工作规定》，立足工作实际</w:t>
      </w:r>
      <w:r>
        <w:rPr>
          <w:rFonts w:hint="eastAsia" w:ascii="仿宋" w:hAnsi="仿宋" w:eastAsia="仿宋" w:cs="仿宋"/>
          <w:sz w:val="32"/>
          <w:szCs w:val="40"/>
          <w:lang w:eastAsia="zh-CN"/>
        </w:rPr>
        <w:t>，</w:t>
      </w:r>
      <w:r>
        <w:rPr>
          <w:rFonts w:hint="eastAsia" w:ascii="仿宋" w:hAnsi="仿宋" w:eastAsia="仿宋" w:cs="仿宋"/>
          <w:sz w:val="32"/>
          <w:szCs w:val="40"/>
        </w:rPr>
        <w:t>现将今年</w:t>
      </w:r>
      <w:r>
        <w:rPr>
          <w:rFonts w:hint="eastAsia" w:ascii="仿宋" w:hAnsi="仿宋" w:eastAsia="仿宋" w:cs="仿宋"/>
          <w:sz w:val="32"/>
          <w:szCs w:val="40"/>
          <w:lang w:eastAsia="zh-CN"/>
        </w:rPr>
        <w:t>法治</w:t>
      </w:r>
      <w:r>
        <w:rPr>
          <w:rFonts w:hint="eastAsia" w:ascii="仿宋" w:hAnsi="仿宋" w:eastAsia="仿宋" w:cs="仿宋"/>
          <w:sz w:val="32"/>
          <w:szCs w:val="40"/>
          <w:lang w:val="en-US" w:eastAsia="zh-CN"/>
        </w:rPr>
        <w:t>政府</w:t>
      </w:r>
      <w:r>
        <w:rPr>
          <w:rFonts w:hint="eastAsia" w:ascii="仿宋" w:hAnsi="仿宋" w:eastAsia="仿宋" w:cs="仿宋"/>
          <w:sz w:val="32"/>
          <w:szCs w:val="40"/>
          <w:lang w:eastAsia="zh-CN"/>
        </w:rPr>
        <w:t>建设工作</w:t>
      </w:r>
      <w:r>
        <w:rPr>
          <w:rFonts w:hint="eastAsia" w:ascii="仿宋" w:hAnsi="仿宋" w:eastAsia="仿宋" w:cs="仿宋"/>
          <w:sz w:val="32"/>
          <w:szCs w:val="40"/>
        </w:rPr>
        <w:t>情况进行认真总结，现将有关情况报告如下：</w:t>
      </w:r>
    </w:p>
    <w:p w14:paraId="2A7D70B6">
      <w:pPr>
        <w:ind w:firstLine="640"/>
        <w:jc w:val="left"/>
        <w:rPr>
          <w:rFonts w:hint="eastAsia" w:ascii="仿宋" w:hAnsi="仿宋" w:eastAsia="仿宋" w:cs="仿宋"/>
          <w:b/>
          <w:bCs/>
          <w:sz w:val="32"/>
          <w:szCs w:val="40"/>
        </w:rPr>
      </w:pPr>
      <w:r>
        <w:rPr>
          <w:rFonts w:hint="eastAsia" w:ascii="仿宋" w:hAnsi="仿宋" w:eastAsia="仿宋" w:cs="仿宋"/>
          <w:b/>
          <w:bCs/>
          <w:sz w:val="32"/>
          <w:szCs w:val="40"/>
        </w:rPr>
        <w:t>一</w:t>
      </w:r>
      <w:r>
        <w:rPr>
          <w:rFonts w:hint="eastAsia" w:ascii="仿宋" w:hAnsi="仿宋" w:eastAsia="仿宋" w:cs="仿宋"/>
          <w:b/>
          <w:bCs/>
          <w:sz w:val="32"/>
          <w:szCs w:val="40"/>
          <w:lang w:eastAsia="zh-CN"/>
        </w:rPr>
        <w:t>、</w:t>
      </w:r>
      <w:r>
        <w:rPr>
          <w:rFonts w:hint="eastAsia" w:ascii="仿宋" w:hAnsi="仿宋" w:eastAsia="仿宋" w:cs="仿宋"/>
          <w:b/>
          <w:bCs/>
          <w:sz w:val="32"/>
          <w:szCs w:val="40"/>
        </w:rPr>
        <w:t>2024年度推进法治政府建设的主要举措和成效</w:t>
      </w:r>
    </w:p>
    <w:p w14:paraId="1EEE6843">
      <w:pPr>
        <w:ind w:firstLine="640"/>
        <w:jc w:val="left"/>
        <w:rPr>
          <w:rFonts w:hint="eastAsia" w:ascii="仿宋" w:hAnsi="仿宋" w:eastAsia="仿宋" w:cs="仿宋"/>
          <w:sz w:val="32"/>
          <w:szCs w:val="40"/>
        </w:rPr>
      </w:pP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一</w:t>
      </w:r>
      <w:r>
        <w:rPr>
          <w:rFonts w:hint="eastAsia" w:ascii="仿宋" w:hAnsi="仿宋" w:eastAsia="仿宋" w:cs="仿宋"/>
          <w:sz w:val="32"/>
          <w:szCs w:val="40"/>
          <w:lang w:eastAsia="zh-CN"/>
        </w:rPr>
        <w:t>）</w:t>
      </w:r>
      <w:r>
        <w:rPr>
          <w:rFonts w:hint="eastAsia" w:ascii="仿宋" w:hAnsi="仿宋" w:eastAsia="仿宋" w:cs="仿宋"/>
          <w:sz w:val="32"/>
          <w:szCs w:val="40"/>
        </w:rPr>
        <w:t>坚持依法行政，领导干部重视理论学习。</w:t>
      </w:r>
    </w:p>
    <w:p w14:paraId="6A6AC101">
      <w:pPr>
        <w:ind w:firstLine="640"/>
        <w:jc w:val="left"/>
        <w:rPr>
          <w:rFonts w:hint="eastAsia" w:ascii="仿宋" w:hAnsi="仿宋" w:eastAsia="仿宋" w:cs="仿宋"/>
          <w:sz w:val="32"/>
          <w:szCs w:val="40"/>
        </w:rPr>
      </w:pPr>
      <w:r>
        <w:rPr>
          <w:rFonts w:hint="eastAsia" w:ascii="仿宋" w:hAnsi="仿宋" w:eastAsia="仿宋" w:cs="仿宋"/>
          <w:sz w:val="32"/>
          <w:szCs w:val="40"/>
        </w:rPr>
        <w:t>1、深入学习宣传贯彻党的二十大精神。学习贯彻党的二十大精神，必须深刻领悟“两个确立”的决定性意义，增强“四个意识”、坚定“四个自信”、做到“两个维护”，自觉在思想上政治上行动上同以习近平同志为核心的党中央保持高度一致。学习贯彻党的二十大精神是一项长期的任务，根据党的二十大精神的核心要义和实践要求，不断提高自身的工作水平和能力素质。</w:t>
      </w:r>
    </w:p>
    <w:p w14:paraId="5F70BAB1">
      <w:pPr>
        <w:ind w:firstLine="640"/>
        <w:jc w:val="left"/>
        <w:rPr>
          <w:rFonts w:hint="eastAsia" w:ascii="仿宋" w:hAnsi="仿宋" w:eastAsia="仿宋" w:cs="仿宋"/>
          <w:sz w:val="32"/>
          <w:szCs w:val="40"/>
        </w:rPr>
      </w:pPr>
      <w:r>
        <w:rPr>
          <w:rFonts w:hint="eastAsia" w:ascii="仿宋" w:hAnsi="仿宋" w:eastAsia="仿宋" w:cs="仿宋"/>
          <w:sz w:val="32"/>
          <w:szCs w:val="40"/>
        </w:rPr>
        <w:t>2、突出学习宣传《宪法》。我局把学习宣传《宪法》摆在重要位置，要求各单位采取集中学习和自学的方式，全文学习和专题学习同步开展，深入学习依宪治国、依宪执政理念。同时，在每年“12.4”国家宪法日期间，开展以“尊崇宪法、学习宪法、遵守宪法、维护宪法”为主题的宣传教育活动，树立《宪法》权威，不断提高干部职工，特别是领导干部的宪法意识。同时，学习宣传党内法规，包括《中国共产党廉洁自律准则》《中国共产党纪律处分条例》《中国共产党党内监督条例》《关于新形势下党内政治生活的若干准则》等。通过学习，党员干部树立“法定职责必须为，法无授权不可为”的意识，争做党章党规党纪和国家法律的自觉尊崇者和坚定捍卫者。</w:t>
      </w:r>
    </w:p>
    <w:p w14:paraId="55EEF909">
      <w:pPr>
        <w:ind w:firstLine="640"/>
        <w:jc w:val="left"/>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val="en-US" w:eastAsia="zh-CN"/>
        </w:rPr>
        <w:t>二</w:t>
      </w:r>
      <w:r>
        <w:rPr>
          <w:rFonts w:hint="eastAsia" w:ascii="仿宋" w:hAnsi="仿宋" w:eastAsia="仿宋" w:cs="仿宋"/>
          <w:sz w:val="32"/>
          <w:szCs w:val="40"/>
        </w:rPr>
        <w:t>）建议提案办理工作。</w:t>
      </w:r>
    </w:p>
    <w:p w14:paraId="4929D1E6">
      <w:pPr>
        <w:ind w:firstLine="640"/>
        <w:jc w:val="left"/>
        <w:rPr>
          <w:rFonts w:hint="eastAsia" w:ascii="仿宋" w:hAnsi="仿宋" w:eastAsia="仿宋" w:cs="仿宋"/>
          <w:sz w:val="32"/>
          <w:szCs w:val="40"/>
        </w:rPr>
      </w:pPr>
      <w:r>
        <w:rPr>
          <w:rFonts w:hint="eastAsia" w:ascii="仿宋" w:hAnsi="仿宋" w:eastAsia="仿宋" w:cs="仿宋"/>
          <w:sz w:val="32"/>
          <w:szCs w:val="40"/>
        </w:rPr>
        <w:t>不断总结2019年－2023年的办理经验，严把建议提案办理工作的“受理关”“承办关”“审核关”，做到建议提案办理工作与调查研究相结合、与回应社会热点相结合、与突破难点相结合、与锻炼干部相结合，坚持不满足于问题的解决、不满足于用上级规定和政策答复建议提案、不满足于已经取得的成绩。坚持强化责任抓落实、创新方式重质量、促进发展求实效，真正将建议提案的成功办理转化为人民群众解决实际问题的现实成果。2024年，共计办理建议提案11件（主办10件，协办1件），其中人大建议3件，委员提案8件，已按时限要求全部办理完毕，满意度100%。</w:t>
      </w:r>
    </w:p>
    <w:p w14:paraId="395703F7">
      <w:pPr>
        <w:ind w:firstLine="640"/>
        <w:jc w:val="left"/>
        <w:rPr>
          <w:rFonts w:hint="eastAsia" w:ascii="仿宋" w:hAnsi="仿宋" w:eastAsia="仿宋" w:cs="仿宋"/>
          <w:sz w:val="32"/>
          <w:szCs w:val="40"/>
        </w:rPr>
      </w:pPr>
      <w:r>
        <w:rPr>
          <w:rFonts w:hint="eastAsia" w:ascii="仿宋" w:hAnsi="仿宋" w:eastAsia="仿宋" w:cs="仿宋"/>
          <w:sz w:val="32"/>
          <w:szCs w:val="40"/>
        </w:rPr>
        <w:t>（三）严格审核林业行政案件，有效指导基层执法</w:t>
      </w:r>
    </w:p>
    <w:p w14:paraId="43F91D5D">
      <w:pPr>
        <w:ind w:firstLine="640"/>
        <w:jc w:val="left"/>
        <w:rPr>
          <w:rFonts w:hint="eastAsia" w:ascii="仿宋" w:hAnsi="仿宋" w:eastAsia="仿宋" w:cs="仿宋"/>
          <w:sz w:val="32"/>
          <w:szCs w:val="40"/>
        </w:rPr>
      </w:pPr>
      <w:r>
        <w:rPr>
          <w:rFonts w:hint="eastAsia" w:ascii="仿宋" w:hAnsi="仿宋" w:eastAsia="仿宋" w:cs="仿宋"/>
          <w:sz w:val="32"/>
          <w:szCs w:val="40"/>
        </w:rPr>
        <w:t xml:space="preserve">2024年全市共发生林业行政执法案件共计73起，其中盗伐林木案件14起，滥伐林木案件6起，毁坏林木林地3起，违法使用林地16起，违反森林、草原法规1起，违反野生动植物法律法规33起。共计罚款162.4万元，没收非法所得6.07万元。分析总结了各县（市、区）在基本信息填报、法律适用、卷宗制作等方面存在的问题和不足，督促各县（市、区）及时合理、合规、合法整改，确保全市林业行政执法规范化。                              </w:t>
      </w:r>
    </w:p>
    <w:p w14:paraId="37BE1065">
      <w:pPr>
        <w:ind w:firstLine="640"/>
        <w:jc w:val="left"/>
        <w:rPr>
          <w:rFonts w:hint="eastAsia" w:ascii="仿宋" w:hAnsi="仿宋" w:eastAsia="仿宋" w:cs="仿宋"/>
          <w:sz w:val="32"/>
          <w:szCs w:val="40"/>
        </w:rPr>
      </w:pPr>
      <w:r>
        <w:rPr>
          <w:rFonts w:hint="eastAsia" w:ascii="仿宋" w:hAnsi="仿宋" w:eastAsia="仿宋" w:cs="仿宋"/>
          <w:sz w:val="32"/>
          <w:szCs w:val="40"/>
        </w:rPr>
        <w:t>（四）完善审批制度，优化审批流程</w:t>
      </w:r>
    </w:p>
    <w:p w14:paraId="0FB09028">
      <w:pPr>
        <w:ind w:firstLine="640"/>
        <w:jc w:val="left"/>
        <w:rPr>
          <w:rFonts w:hint="eastAsia" w:ascii="仿宋" w:hAnsi="仿宋" w:eastAsia="仿宋" w:cs="仿宋"/>
          <w:sz w:val="32"/>
          <w:szCs w:val="40"/>
        </w:rPr>
      </w:pPr>
      <w:r>
        <w:rPr>
          <w:rFonts w:hint="eastAsia" w:ascii="仿宋" w:hAnsi="仿宋" w:eastAsia="仿宋" w:cs="仿宋"/>
          <w:sz w:val="32"/>
          <w:szCs w:val="40"/>
        </w:rPr>
        <w:t>截至目前，共办理各类审批审核事项451件，事项办结率和群众满意率均达100%，被评为上半年全市审批服务标兵单位。在完成各项常规任务的同时，做到了审批效率进一步提高，审批服务取得新突破，并助推市政府专班项目顺利实施。为保障长春半小时经济圈工程顺利实施，按照市政府项目专班的要求，对烟长高速、长太高速等道路环线项目实施保姆式审批服务，做到靠前指导，跟踪服务。积极协调省里和县区林业部门，为项目占用林地开辟审批绿色通道，全面解决地类争议、图斑偏移、林木采伐等问题，实现“组卷快、审核快、审批快”，及时完成审批，助推各条高速公路顺利通车。</w:t>
      </w:r>
    </w:p>
    <w:p w14:paraId="0FF057A2">
      <w:pPr>
        <w:ind w:firstLine="640"/>
        <w:jc w:val="left"/>
        <w:rPr>
          <w:rFonts w:hint="eastAsia" w:ascii="仿宋" w:hAnsi="仿宋" w:eastAsia="仿宋" w:cs="仿宋"/>
          <w:sz w:val="32"/>
          <w:szCs w:val="40"/>
        </w:rPr>
      </w:pPr>
      <w:r>
        <w:rPr>
          <w:rFonts w:hint="eastAsia" w:ascii="仿宋" w:hAnsi="仿宋" w:eastAsia="仿宋" w:cs="仿宋"/>
          <w:sz w:val="32"/>
          <w:szCs w:val="40"/>
        </w:rPr>
        <w:t>（五）行政执法人员暨法制审核人员培训</w:t>
      </w:r>
    </w:p>
    <w:p w14:paraId="46905A01">
      <w:pPr>
        <w:ind w:firstLine="640"/>
        <w:jc w:val="left"/>
        <w:rPr>
          <w:rFonts w:hint="eastAsia" w:ascii="仿宋" w:hAnsi="仿宋" w:eastAsia="仿宋" w:cs="仿宋"/>
          <w:sz w:val="32"/>
          <w:szCs w:val="40"/>
        </w:rPr>
      </w:pPr>
      <w:r>
        <w:rPr>
          <w:rFonts w:hint="eastAsia" w:ascii="仿宋" w:hAnsi="仿宋" w:eastAsia="仿宋" w:cs="仿宋"/>
          <w:sz w:val="32"/>
          <w:szCs w:val="40"/>
        </w:rPr>
        <w:t>为进一步提升行政执法人员和法制审核人员业务能力，依法履行职责，促进严格规范公正文明执法，对本部门行政执法信息进行完善，认真组织参加2024年度全市行政执法人员暨法制审核人员培训，培训内容将涵盖行政执法、法制审核、行政执法监督、乡镇（街道）综合行政执法改革等相关工作。此次培训，使我局行政执法人员的自身法律素质有所提高，增强了学法用法的积极性和自觉性。</w:t>
      </w:r>
    </w:p>
    <w:p w14:paraId="26D02A6D">
      <w:pPr>
        <w:ind w:firstLine="640"/>
        <w:jc w:val="left"/>
        <w:rPr>
          <w:rFonts w:hint="eastAsia" w:ascii="仿宋" w:hAnsi="仿宋" w:eastAsia="仿宋" w:cs="仿宋"/>
          <w:sz w:val="32"/>
          <w:szCs w:val="40"/>
        </w:rPr>
      </w:pPr>
      <w:r>
        <w:rPr>
          <w:rFonts w:hint="eastAsia" w:ascii="仿宋" w:hAnsi="仿宋" w:eastAsia="仿宋" w:cs="仿宋"/>
          <w:sz w:val="32"/>
          <w:szCs w:val="40"/>
        </w:rPr>
        <w:t>（六）“双随机、一公开”监管</w:t>
      </w:r>
    </w:p>
    <w:p w14:paraId="30D50CD9">
      <w:pPr>
        <w:ind w:firstLine="640"/>
        <w:jc w:val="left"/>
        <w:rPr>
          <w:rFonts w:hint="eastAsia" w:ascii="仿宋" w:hAnsi="仿宋" w:eastAsia="仿宋" w:cs="仿宋"/>
          <w:sz w:val="32"/>
          <w:szCs w:val="40"/>
        </w:rPr>
      </w:pPr>
      <w:r>
        <w:rPr>
          <w:rFonts w:hint="eastAsia" w:ascii="仿宋" w:hAnsi="仿宋" w:eastAsia="仿宋" w:cs="仿宋"/>
          <w:sz w:val="32"/>
          <w:szCs w:val="40"/>
        </w:rPr>
        <w:t>按照市“双随机、一公开”领导小组办公室关于进一步“简政放权、放管结合、优化服务、转变职能、规范行为、强化监管”的要求，协调资源处、防火安全处、生态处等相关处室，认真开展双随机工作。梳理出今年的抽检事项，制定了年度检查计划，并及时调整了“双库”（执法人员库、监管对象库）。通过“双随机、一公开”监管平台实施随机抽取，确定了本年度部门内双随机任务8个，现已全部完成检查任务，并在“双随机、一公开”监管平台进行公示。</w:t>
      </w:r>
    </w:p>
    <w:p w14:paraId="6F3E5458">
      <w:pPr>
        <w:ind w:firstLine="640"/>
        <w:jc w:val="left"/>
        <w:rPr>
          <w:rFonts w:hint="eastAsia" w:ascii="仿宋" w:hAnsi="仿宋" w:eastAsia="仿宋" w:cs="仿宋"/>
          <w:sz w:val="32"/>
          <w:szCs w:val="40"/>
        </w:rPr>
      </w:pPr>
      <w:r>
        <w:rPr>
          <w:rFonts w:hint="eastAsia" w:ascii="仿宋" w:hAnsi="仿宋" w:eastAsia="仿宋" w:cs="仿宋"/>
          <w:sz w:val="32"/>
          <w:szCs w:val="40"/>
        </w:rPr>
        <w:t>（七）深入开展普法宣传活动</w:t>
      </w:r>
    </w:p>
    <w:p w14:paraId="7D42ACF0">
      <w:pPr>
        <w:ind w:firstLine="640"/>
        <w:jc w:val="left"/>
        <w:rPr>
          <w:rFonts w:hint="eastAsia" w:ascii="仿宋" w:hAnsi="仿宋" w:eastAsia="仿宋" w:cs="仿宋"/>
          <w:sz w:val="32"/>
          <w:szCs w:val="40"/>
        </w:rPr>
      </w:pPr>
      <w:r>
        <w:rPr>
          <w:rFonts w:hint="eastAsia" w:ascii="仿宋" w:hAnsi="仿宋" w:eastAsia="仿宋" w:cs="仿宋"/>
          <w:sz w:val="32"/>
          <w:szCs w:val="40"/>
        </w:rPr>
        <w:t>1、充分运用公园电子屏进行宣传。为充分发挥公园宣传阵地职能，工作人员结合公园属地人群特性，及时搜集、制作宣传图片，引导群众百姓养成自觉守法的意识，形成遇事找法的习惯，增强解决问题靠法的意识和能力。</w:t>
      </w:r>
    </w:p>
    <w:p w14:paraId="207A0BB5">
      <w:pPr>
        <w:ind w:firstLine="640"/>
        <w:jc w:val="left"/>
        <w:rPr>
          <w:rFonts w:hint="eastAsia" w:ascii="仿宋" w:hAnsi="仿宋" w:eastAsia="仿宋" w:cs="仿宋"/>
          <w:sz w:val="32"/>
          <w:szCs w:val="40"/>
        </w:rPr>
      </w:pPr>
      <w:r>
        <w:rPr>
          <w:rFonts w:hint="eastAsia" w:ascii="仿宋" w:hAnsi="仿宋" w:eastAsia="仿宋" w:cs="仿宋"/>
          <w:sz w:val="32"/>
          <w:szCs w:val="40"/>
        </w:rPr>
        <w:t>2、以新媒体为载体进行网络宣传。利用公园微信公众号，推送与职工群众切身利益息息相关的法律解读等内容，引导广大干部职工要做学习、遵守、维护法律的表率。</w:t>
      </w:r>
    </w:p>
    <w:p w14:paraId="0E65AB86">
      <w:pPr>
        <w:ind w:firstLine="640"/>
        <w:jc w:val="left"/>
        <w:rPr>
          <w:rFonts w:hint="eastAsia" w:ascii="仿宋" w:hAnsi="仿宋" w:eastAsia="仿宋" w:cs="仿宋"/>
          <w:sz w:val="32"/>
          <w:szCs w:val="40"/>
        </w:rPr>
      </w:pPr>
      <w:r>
        <w:rPr>
          <w:rFonts w:hint="eastAsia" w:ascii="仿宋" w:hAnsi="仿宋" w:eastAsia="仿宋" w:cs="仿宋"/>
          <w:sz w:val="32"/>
          <w:szCs w:val="40"/>
        </w:rPr>
        <w:t>3、利用广播系统进行传统宣传。公园广播站工作人员积极录制法律法规的颁布、实施时间、具体条文条例等内容音频，利用公园广播轮流播放，在每天早、晚锻炼、游园客流量大的时峰阶段，还着重增加了宣传播放频次，采取定时播放，进一步增加了民法普及的人群，扩大了宣传范围，让更多的市民有学法、找法的平台，让“高大上”的法条融入群众老百姓的生活中去。</w:t>
      </w:r>
    </w:p>
    <w:p w14:paraId="58976482">
      <w:pPr>
        <w:ind w:firstLine="640"/>
        <w:jc w:val="left"/>
        <w:rPr>
          <w:rFonts w:hint="eastAsia" w:ascii="仿宋" w:hAnsi="仿宋" w:eastAsia="仿宋" w:cs="仿宋"/>
          <w:sz w:val="32"/>
          <w:szCs w:val="40"/>
        </w:rPr>
      </w:pPr>
      <w:r>
        <w:rPr>
          <w:rFonts w:hint="eastAsia" w:ascii="仿宋" w:hAnsi="仿宋" w:eastAsia="仿宋" w:cs="仿宋"/>
          <w:sz w:val="32"/>
          <w:szCs w:val="40"/>
        </w:rPr>
        <w:t>4、坚持常态化普法宣传。</w:t>
      </w:r>
    </w:p>
    <w:p w14:paraId="40C5EF01">
      <w:pPr>
        <w:ind w:firstLine="640"/>
        <w:jc w:val="left"/>
        <w:rPr>
          <w:rFonts w:hint="eastAsia" w:ascii="仿宋" w:hAnsi="仿宋" w:eastAsia="仿宋" w:cs="仿宋"/>
          <w:sz w:val="32"/>
          <w:szCs w:val="40"/>
        </w:rPr>
      </w:pPr>
      <w:r>
        <w:rPr>
          <w:rFonts w:hint="eastAsia" w:ascii="仿宋" w:hAnsi="仿宋" w:eastAsia="仿宋" w:cs="仿宋"/>
          <w:sz w:val="32"/>
          <w:szCs w:val="40"/>
        </w:rPr>
        <w:t>在“森林防火宣传月”“宣传周活动”“安全生产月”“森防宣传月”活动中，通过公共场所的电子显示屏不间断播放警示语、科普短视频、安全提示、公益广告等，宣传内容紧扣主题，通过广泛地宣传，唤醒广大人民群众的法律意识。</w:t>
      </w:r>
    </w:p>
    <w:p w14:paraId="4720CED6">
      <w:pPr>
        <w:ind w:firstLine="640"/>
        <w:jc w:val="left"/>
        <w:rPr>
          <w:rFonts w:hint="eastAsia" w:ascii="仿宋" w:hAnsi="仿宋" w:eastAsia="仿宋" w:cs="仿宋"/>
          <w:sz w:val="32"/>
          <w:szCs w:val="40"/>
        </w:rPr>
      </w:pPr>
      <w:r>
        <w:rPr>
          <w:rFonts w:hint="eastAsia" w:ascii="仿宋" w:hAnsi="仿宋" w:eastAsia="仿宋" w:cs="仿宋"/>
          <w:sz w:val="32"/>
          <w:szCs w:val="40"/>
        </w:rPr>
        <w:t>（八）完善长春市林业和园林局包容审慎监管执法“四张清单”</w:t>
      </w:r>
    </w:p>
    <w:p w14:paraId="177167F5">
      <w:pPr>
        <w:ind w:firstLine="640"/>
        <w:jc w:val="left"/>
        <w:rPr>
          <w:rFonts w:hint="eastAsia" w:ascii="仿宋" w:hAnsi="仿宋" w:eastAsia="仿宋" w:cs="仿宋"/>
          <w:sz w:val="32"/>
          <w:szCs w:val="40"/>
        </w:rPr>
      </w:pPr>
      <w:r>
        <w:rPr>
          <w:rFonts w:hint="eastAsia" w:ascii="仿宋" w:hAnsi="仿宋" w:eastAsia="仿宋" w:cs="仿宋"/>
          <w:sz w:val="32"/>
          <w:szCs w:val="40"/>
        </w:rPr>
        <w:t>按照《关于深入推行包容审慎监管执法“四张清单”的工作方案》部署要求，市林业和园林局组织完善了林园系统包容审慎监管执法“四张清单”，同时对作出不予、从轻、减轻行政处罚决定和免于行政强制决定的执法案件，同步下发相应的执法决定书、行政建议书和信用承诺书。</w:t>
      </w:r>
    </w:p>
    <w:p w14:paraId="3F05EEC8">
      <w:pPr>
        <w:ind w:firstLine="640"/>
        <w:jc w:val="left"/>
        <w:rPr>
          <w:rFonts w:hint="eastAsia" w:ascii="仿宋" w:hAnsi="仿宋" w:eastAsia="仿宋" w:cs="仿宋"/>
          <w:sz w:val="32"/>
          <w:szCs w:val="40"/>
        </w:rPr>
      </w:pPr>
      <w:r>
        <w:rPr>
          <w:rFonts w:hint="eastAsia" w:ascii="仿宋" w:hAnsi="仿宋" w:eastAsia="仿宋" w:cs="仿宋"/>
          <w:sz w:val="32"/>
          <w:szCs w:val="40"/>
        </w:rPr>
        <w:t>（九）法律顾问服务。</w:t>
      </w:r>
    </w:p>
    <w:p w14:paraId="1D0FC970">
      <w:pPr>
        <w:ind w:firstLine="640"/>
        <w:jc w:val="left"/>
        <w:rPr>
          <w:rFonts w:hint="eastAsia" w:ascii="仿宋" w:hAnsi="仿宋" w:eastAsia="仿宋" w:cs="仿宋"/>
          <w:sz w:val="32"/>
          <w:szCs w:val="40"/>
        </w:rPr>
      </w:pPr>
      <w:r>
        <w:rPr>
          <w:rFonts w:hint="eastAsia" w:ascii="仿宋" w:hAnsi="仿宋" w:eastAsia="仿宋" w:cs="仿宋"/>
          <w:sz w:val="32"/>
          <w:szCs w:val="40"/>
        </w:rPr>
        <w:t>按照法治政府建设的要求，为保障我局依法行政，确保行政行为合法、公平、公正，并维护我局自身的合法权益，我局将加大法律顾问对我局依法行政的参与力度。逐步扩大法律顾问对政府依法行政所涉及的法律事项提供相应法律服务的范围。同时在应对突发事件、企业改制遗留问题、出庭应诉和群众上访等相关法律问题时，提出相应法律意见和建议，为我局的科学决策提供坚实的法律保障。</w:t>
      </w:r>
    </w:p>
    <w:p w14:paraId="388C11AA">
      <w:pPr>
        <w:ind w:firstLine="640"/>
        <w:jc w:val="left"/>
        <w:rPr>
          <w:rFonts w:hint="eastAsia" w:ascii="仿宋" w:hAnsi="仿宋" w:eastAsia="仿宋" w:cs="仿宋"/>
          <w:b/>
          <w:bCs/>
          <w:sz w:val="32"/>
          <w:szCs w:val="40"/>
        </w:rPr>
      </w:pPr>
      <w:r>
        <w:rPr>
          <w:rFonts w:hint="eastAsia" w:ascii="仿宋" w:hAnsi="仿宋" w:eastAsia="仿宋" w:cs="仿宋"/>
          <w:b/>
          <w:bCs/>
          <w:sz w:val="32"/>
          <w:szCs w:val="40"/>
        </w:rPr>
        <w:t>二</w:t>
      </w:r>
      <w:r>
        <w:rPr>
          <w:rFonts w:hint="eastAsia" w:ascii="仿宋" w:hAnsi="仿宋" w:eastAsia="仿宋" w:cs="仿宋"/>
          <w:b/>
          <w:bCs/>
          <w:sz w:val="32"/>
          <w:szCs w:val="40"/>
          <w:lang w:eastAsia="zh-CN"/>
        </w:rPr>
        <w:t>、</w:t>
      </w:r>
      <w:r>
        <w:rPr>
          <w:rFonts w:hint="eastAsia" w:ascii="仿宋" w:hAnsi="仿宋" w:eastAsia="仿宋" w:cs="仿宋"/>
          <w:b/>
          <w:bCs/>
          <w:sz w:val="32"/>
          <w:szCs w:val="40"/>
        </w:rPr>
        <w:t>2024年度推进法治政府建设存在的不足和原因</w:t>
      </w:r>
    </w:p>
    <w:p w14:paraId="7D44374D">
      <w:pPr>
        <w:ind w:firstLine="640"/>
        <w:jc w:val="left"/>
        <w:rPr>
          <w:rFonts w:hint="eastAsia" w:ascii="仿宋" w:hAnsi="仿宋" w:eastAsia="仿宋" w:cs="仿宋"/>
          <w:sz w:val="32"/>
          <w:szCs w:val="40"/>
        </w:rPr>
      </w:pPr>
      <w:r>
        <w:rPr>
          <w:rFonts w:hint="eastAsia" w:ascii="仿宋" w:hAnsi="仿宋" w:eastAsia="仿宋" w:cs="仿宋"/>
          <w:sz w:val="32"/>
          <w:szCs w:val="40"/>
        </w:rPr>
        <w:t>（一）普法宣传力度不足。在推进依法行政、加快建设法治政府过程中取得了一定的成绩，但是与法治政府建设的</w:t>
      </w:r>
      <w:r>
        <w:rPr>
          <w:rFonts w:hint="eastAsia" w:ascii="仿宋" w:hAnsi="仿宋" w:eastAsia="仿宋" w:cs="仿宋"/>
          <w:sz w:val="32"/>
          <w:szCs w:val="40"/>
          <w:lang w:eastAsia="zh-CN"/>
        </w:rPr>
        <w:t>新形势新任务新要求</w:t>
      </w:r>
      <w:r>
        <w:rPr>
          <w:rFonts w:hint="eastAsia" w:ascii="仿宋" w:hAnsi="仿宋" w:eastAsia="仿宋" w:cs="仿宋"/>
          <w:sz w:val="32"/>
          <w:szCs w:val="40"/>
        </w:rPr>
        <w:t>相比，与广大人民的期盼相比还有一定的差距，法治宣传教育形式有待进一步创新。</w:t>
      </w:r>
    </w:p>
    <w:p w14:paraId="411D114A">
      <w:pPr>
        <w:ind w:firstLine="640"/>
        <w:jc w:val="left"/>
        <w:rPr>
          <w:rFonts w:hint="eastAsia" w:ascii="仿宋" w:hAnsi="仿宋" w:eastAsia="仿宋" w:cs="仿宋"/>
          <w:sz w:val="32"/>
          <w:szCs w:val="40"/>
        </w:rPr>
      </w:pPr>
      <w:r>
        <w:rPr>
          <w:rFonts w:hint="eastAsia" w:ascii="仿宋" w:hAnsi="仿宋" w:eastAsia="仿宋" w:cs="仿宋"/>
          <w:sz w:val="32"/>
          <w:szCs w:val="40"/>
        </w:rPr>
        <w:t>（二）缺少独立的行政执法队伍，行政执法人员不足，执法力量较弱。2023年初，中共长春市委机构编制委员会为进一步加强我市林业行政执法工作，理顺部门内部职责配置，同意在我局资源与保护处加挂林业行政执法处牌子，负责组织、指导全市森林、草原、湿地及野生动植物资源行政执法和监督工作，但没有增加行政执法人员编制。</w:t>
      </w:r>
    </w:p>
    <w:p w14:paraId="107D770E">
      <w:pPr>
        <w:ind w:firstLine="640"/>
        <w:jc w:val="left"/>
        <w:rPr>
          <w:rFonts w:hint="eastAsia" w:ascii="仿宋" w:hAnsi="仿宋" w:eastAsia="仿宋" w:cs="仿宋"/>
          <w:sz w:val="32"/>
          <w:szCs w:val="40"/>
        </w:rPr>
      </w:pPr>
      <w:r>
        <w:rPr>
          <w:rFonts w:hint="eastAsia" w:ascii="仿宋" w:hAnsi="仿宋" w:eastAsia="仿宋" w:cs="仿宋"/>
          <w:sz w:val="32"/>
          <w:szCs w:val="40"/>
        </w:rPr>
        <w:t>（三）扩大法律顾问服务范围。按照法治政府建设的要求，为保障政府部门依法行政，确保行政行为合法、公平、公正，并维护自身的合法权益。近年来，我局不断加深与法律顾问的交流协作，为我局的行政行为提供法律保障，但涉及的法律服务范围还有待扩大。2025年，我局将进一步扩大法律顾问对政府依法行政所涉及的法律事项提供相应法律服务的范围。同时在应对突发事件、企业改制遗留问题、出庭应诉和群众上访等相关法律问题时，提出相应法律意见和建议，为我局的科学决策提供坚实的法律保障。</w:t>
      </w:r>
    </w:p>
    <w:p w14:paraId="17861F44">
      <w:pPr>
        <w:ind w:firstLine="640"/>
        <w:jc w:val="left"/>
        <w:rPr>
          <w:rFonts w:hint="eastAsia" w:ascii="仿宋" w:hAnsi="仿宋" w:eastAsia="仿宋" w:cs="仿宋"/>
          <w:b/>
          <w:bCs/>
          <w:sz w:val="32"/>
          <w:szCs w:val="40"/>
        </w:rPr>
      </w:pPr>
      <w:r>
        <w:rPr>
          <w:rFonts w:hint="eastAsia" w:ascii="仿宋" w:hAnsi="仿宋" w:eastAsia="仿宋" w:cs="仿宋"/>
          <w:b/>
          <w:bCs/>
          <w:sz w:val="32"/>
          <w:szCs w:val="40"/>
        </w:rPr>
        <w:t>三</w:t>
      </w:r>
      <w:r>
        <w:rPr>
          <w:rFonts w:hint="eastAsia" w:ascii="仿宋" w:hAnsi="仿宋" w:eastAsia="仿宋" w:cs="仿宋"/>
          <w:b/>
          <w:bCs/>
          <w:sz w:val="32"/>
          <w:szCs w:val="40"/>
          <w:lang w:eastAsia="zh-CN"/>
        </w:rPr>
        <w:t>、</w:t>
      </w:r>
      <w:r>
        <w:rPr>
          <w:rFonts w:hint="eastAsia" w:ascii="仿宋" w:hAnsi="仿宋" w:eastAsia="仿宋" w:cs="仿宋"/>
          <w:b/>
          <w:bCs/>
          <w:sz w:val="32"/>
          <w:szCs w:val="40"/>
        </w:rPr>
        <w:t>2024年度党政主要负责人履行推进法治建设第一责任人职责，加强法治政府建设的有关情况</w:t>
      </w:r>
    </w:p>
    <w:p w14:paraId="079210F1">
      <w:pPr>
        <w:ind w:firstLine="640"/>
        <w:jc w:val="left"/>
        <w:rPr>
          <w:rFonts w:hint="eastAsia" w:ascii="仿宋" w:hAnsi="仿宋" w:eastAsia="仿宋" w:cs="仿宋"/>
          <w:sz w:val="32"/>
          <w:szCs w:val="40"/>
        </w:rPr>
      </w:pPr>
      <w:r>
        <w:rPr>
          <w:rFonts w:hint="eastAsia" w:ascii="仿宋" w:hAnsi="仿宋" w:eastAsia="仿宋" w:cs="仿宋"/>
          <w:sz w:val="32"/>
          <w:szCs w:val="40"/>
        </w:rPr>
        <w:t>按照《党政主要负责人履行推进法治建设第一责任人职责规定》要求，对法治建设重要工作亲自部署、重大问题亲自过问、重点环节亲自协调、重要任务亲自督办。一是定期组织召开局党组会议传达学习贯彻习近平法治思想，并将习近平法治思想列入年度领导干部学法计划的重点学习内容，有力推动学习宣传贯彻走深走实；二是将林园法治建设工作摆在重要议事日程，带领局领导班子成员学习中央和省有关法治建设的文件和会议精神，认真听取法治建设工作情况汇报，做到对林园法治建设重要工作、重大问题、重点环节从部署到落实做好督促指导工作，推动林园系统法治建设各项工作全面深入开展。</w:t>
      </w:r>
    </w:p>
    <w:p w14:paraId="3200842B">
      <w:pPr>
        <w:ind w:firstLine="640"/>
        <w:jc w:val="left"/>
        <w:rPr>
          <w:rFonts w:hint="eastAsia" w:ascii="仿宋" w:hAnsi="仿宋" w:eastAsia="仿宋" w:cs="仿宋"/>
          <w:b/>
          <w:bCs/>
          <w:sz w:val="32"/>
          <w:szCs w:val="40"/>
        </w:rPr>
      </w:pPr>
      <w:r>
        <w:rPr>
          <w:rFonts w:hint="eastAsia" w:ascii="仿宋" w:hAnsi="仿宋" w:eastAsia="仿宋" w:cs="仿宋"/>
          <w:b/>
          <w:bCs/>
          <w:sz w:val="32"/>
          <w:szCs w:val="40"/>
        </w:rPr>
        <w:t>四</w:t>
      </w:r>
      <w:r>
        <w:rPr>
          <w:rFonts w:hint="eastAsia" w:ascii="仿宋" w:hAnsi="仿宋" w:eastAsia="仿宋" w:cs="仿宋"/>
          <w:b/>
          <w:bCs/>
          <w:sz w:val="32"/>
          <w:szCs w:val="40"/>
          <w:lang w:eastAsia="zh-CN"/>
        </w:rPr>
        <w:t>、</w:t>
      </w:r>
      <w:r>
        <w:rPr>
          <w:rFonts w:hint="eastAsia" w:ascii="仿宋" w:hAnsi="仿宋" w:eastAsia="仿宋" w:cs="仿宋"/>
          <w:b/>
          <w:bCs/>
          <w:sz w:val="32"/>
          <w:szCs w:val="40"/>
        </w:rPr>
        <w:t>2025年度推进法治政府建设的主要安排</w:t>
      </w:r>
    </w:p>
    <w:p w14:paraId="74767907">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（一）行政执法方面</w:t>
      </w:r>
    </w:p>
    <w:p w14:paraId="15AAC0BD">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加强基层执法指导。定期组织执法人员培训，提高法律知识、业务能力和执法水平。通过业务工作定期检查、随机抽查和现场指导等方式，指导基层执法人员严格按照法律法规进行规范执法，鼓励执法人员之间互相学习和交流，共同提高执法水平，全面提升林业行政执法的质量和效率。</w:t>
      </w:r>
    </w:p>
    <w:p w14:paraId="219A93D2">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加大执法力度。依托森林资源、湿地保护、自然保护地等专项行动，定期排查全市涉林违法犯罪行为，坚决查处乱砍滥伐、盗伐、非法占用林地、非法狩猎、非法出售（购买）国家重点保护野生动物等违法行为，维护林业法律法规的严肃性和权威性。</w:t>
      </w:r>
    </w:p>
    <w:p w14:paraId="3EE998BD">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建立社会监督与公众参与机制。通过政务平台、网络、新媒体等形式开展林业法律法规宣传教育，公开林业行政执法举报与投诉电话，鼓励公众参与林业行政执法工作，接受社会舆论监督，形成全社会共同关注和支持林业行政执法的良好氛围。</w:t>
      </w:r>
    </w:p>
    <w:p w14:paraId="2072398A">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（二）普法宣传方面</w:t>
      </w:r>
    </w:p>
    <w:p w14:paraId="68FAFE47">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积极开展普法宣传教育活动，增强人民群众的法律意识和法治观念。通过开展形式多样的普法宣传活动，使人民群众了解林业和园林法律法规，增强生态保护意识，促进生态文明建设。</w:t>
      </w:r>
    </w:p>
    <w:p w14:paraId="3E28AED8">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（三）行政审批方面</w:t>
      </w:r>
    </w:p>
    <w:p w14:paraId="497B5371">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1、继续推进“高效办成一件事”试点工作，建立规范化、可视化工作流程，依试点工作成效，适时扩大应用范围，争取做到审批工作便民利民最大化。</w:t>
      </w:r>
    </w:p>
    <w:p w14:paraId="15D18463">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2、继续抓好业务培训。根据防止“土地非粮化”和野生动物保护政策调整内容，对部分审批事项影响较大，因此计划组织一次全市林业系统审批业务培训会，提升林园审批工作水平。</w:t>
      </w:r>
    </w:p>
    <w:p w14:paraId="4C1F18D4">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3推进电子证照改革。按照市政府统一安排，明年将林草种子生产经营、林木采伐、植物检疫、野生动物繁育和收购销售5个事项实行电子发证，进一步减少审批跑动，实现审批智能化。</w:t>
      </w:r>
    </w:p>
    <w:p w14:paraId="6B531FC4">
      <w:pPr>
        <w:ind w:firstLine="640"/>
        <w:jc w:val="left"/>
        <w:rPr>
          <w:rFonts w:hint="eastAsia" w:ascii="仿宋" w:hAnsi="仿宋" w:eastAsia="仿宋" w:cs="仿宋"/>
          <w:sz w:val="32"/>
          <w:szCs w:val="40"/>
          <w:lang w:val="en-US" w:eastAsia="zh-CN"/>
        </w:rPr>
      </w:pPr>
    </w:p>
    <w:p w14:paraId="75E4C206">
      <w:pPr>
        <w:ind w:firstLine="640"/>
        <w:jc w:val="left"/>
        <w:rPr>
          <w:rFonts w:hint="eastAsia" w:ascii="仿宋" w:hAnsi="仿宋" w:eastAsia="仿宋" w:cs="仿宋"/>
          <w:sz w:val="32"/>
          <w:szCs w:val="40"/>
          <w:lang w:val="en-US" w:eastAsia="zh-CN"/>
        </w:rPr>
      </w:pPr>
    </w:p>
    <w:p w14:paraId="504A7F04">
      <w:pPr>
        <w:ind w:firstLine="640"/>
        <w:jc w:val="left"/>
        <w:rPr>
          <w:rFonts w:hint="eastAsia" w:ascii="仿宋" w:hAnsi="仿宋" w:eastAsia="仿宋" w:cs="仿宋"/>
          <w:sz w:val="32"/>
          <w:szCs w:val="40"/>
          <w:lang w:val="en-US" w:eastAsia="zh-CN"/>
        </w:rPr>
      </w:pPr>
    </w:p>
    <w:p w14:paraId="7D96BF13">
      <w:pPr>
        <w:ind w:firstLine="64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14:paraId="41247B45">
      <w:pPr>
        <w:ind w:firstLine="64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2025年1月9日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F157104E-4C82-48E9-A6B5-359322CE5585}"/>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4E7A4005-1600-4F55-BDE7-C535128600F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6DA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119D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E119D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OTU3NTJjOGQ2MGIwYTcwN2Q4ZjVkOGJlNmQ3NGYifQ=="/>
  </w:docVars>
  <w:rsids>
    <w:rsidRoot w:val="320C05EF"/>
    <w:rsid w:val="00746FD8"/>
    <w:rsid w:val="0126128B"/>
    <w:rsid w:val="023A1809"/>
    <w:rsid w:val="02A813EA"/>
    <w:rsid w:val="02FE303A"/>
    <w:rsid w:val="03917DC2"/>
    <w:rsid w:val="03B43BF4"/>
    <w:rsid w:val="041E1E69"/>
    <w:rsid w:val="047066E2"/>
    <w:rsid w:val="04C81AE6"/>
    <w:rsid w:val="04EE56E6"/>
    <w:rsid w:val="05064AC6"/>
    <w:rsid w:val="05180904"/>
    <w:rsid w:val="075E5993"/>
    <w:rsid w:val="075F7F39"/>
    <w:rsid w:val="076202B3"/>
    <w:rsid w:val="079C1ADD"/>
    <w:rsid w:val="07A040AB"/>
    <w:rsid w:val="07A82A57"/>
    <w:rsid w:val="07E66C00"/>
    <w:rsid w:val="090F7EAC"/>
    <w:rsid w:val="0A8F3A7E"/>
    <w:rsid w:val="0C2D5313"/>
    <w:rsid w:val="0CD44387"/>
    <w:rsid w:val="0CEB13CF"/>
    <w:rsid w:val="0DBE2C65"/>
    <w:rsid w:val="0DE17E5C"/>
    <w:rsid w:val="0EF77C1C"/>
    <w:rsid w:val="0FB066EF"/>
    <w:rsid w:val="0FF44B33"/>
    <w:rsid w:val="10083E6E"/>
    <w:rsid w:val="10BE60E1"/>
    <w:rsid w:val="10CF44AC"/>
    <w:rsid w:val="112723E1"/>
    <w:rsid w:val="125F7527"/>
    <w:rsid w:val="12FD5F29"/>
    <w:rsid w:val="134F2536"/>
    <w:rsid w:val="13933605"/>
    <w:rsid w:val="149F01B2"/>
    <w:rsid w:val="14EF2CD0"/>
    <w:rsid w:val="14F031DD"/>
    <w:rsid w:val="14FB6914"/>
    <w:rsid w:val="1582358A"/>
    <w:rsid w:val="16F84007"/>
    <w:rsid w:val="17906D13"/>
    <w:rsid w:val="18966221"/>
    <w:rsid w:val="18983671"/>
    <w:rsid w:val="19133788"/>
    <w:rsid w:val="19C6106B"/>
    <w:rsid w:val="1A180EF6"/>
    <w:rsid w:val="1A852918"/>
    <w:rsid w:val="1AB97672"/>
    <w:rsid w:val="1AEE25CF"/>
    <w:rsid w:val="1B36388C"/>
    <w:rsid w:val="1C79243A"/>
    <w:rsid w:val="1C7F0BF6"/>
    <w:rsid w:val="1DA52C34"/>
    <w:rsid w:val="1E1E2B71"/>
    <w:rsid w:val="1F0207B9"/>
    <w:rsid w:val="1F2960DF"/>
    <w:rsid w:val="1F7E3F7E"/>
    <w:rsid w:val="1FC52388"/>
    <w:rsid w:val="212A5D42"/>
    <w:rsid w:val="213851AC"/>
    <w:rsid w:val="217F42A2"/>
    <w:rsid w:val="21DC7FC0"/>
    <w:rsid w:val="21EC4470"/>
    <w:rsid w:val="21F5645D"/>
    <w:rsid w:val="228639E2"/>
    <w:rsid w:val="23036DCA"/>
    <w:rsid w:val="230F6DAB"/>
    <w:rsid w:val="24867429"/>
    <w:rsid w:val="24D2700E"/>
    <w:rsid w:val="25163949"/>
    <w:rsid w:val="2584178E"/>
    <w:rsid w:val="259478A4"/>
    <w:rsid w:val="25DC7CE3"/>
    <w:rsid w:val="2641214D"/>
    <w:rsid w:val="26826D8F"/>
    <w:rsid w:val="26E655F6"/>
    <w:rsid w:val="274D4035"/>
    <w:rsid w:val="27545B70"/>
    <w:rsid w:val="2766748F"/>
    <w:rsid w:val="27947666"/>
    <w:rsid w:val="27F15CE8"/>
    <w:rsid w:val="28503A8C"/>
    <w:rsid w:val="289D4AF3"/>
    <w:rsid w:val="28DE668A"/>
    <w:rsid w:val="28E4585A"/>
    <w:rsid w:val="2A3F456C"/>
    <w:rsid w:val="2A4B45D2"/>
    <w:rsid w:val="2A8101BD"/>
    <w:rsid w:val="2B311643"/>
    <w:rsid w:val="2B581A36"/>
    <w:rsid w:val="2B6E6164"/>
    <w:rsid w:val="2BEE38B6"/>
    <w:rsid w:val="2C460D00"/>
    <w:rsid w:val="2C774BB4"/>
    <w:rsid w:val="2D361D6F"/>
    <w:rsid w:val="2D4814F0"/>
    <w:rsid w:val="2E3E5D2E"/>
    <w:rsid w:val="2E9B25CE"/>
    <w:rsid w:val="2EF36842"/>
    <w:rsid w:val="2FB44CD7"/>
    <w:rsid w:val="3004520D"/>
    <w:rsid w:val="30156CF6"/>
    <w:rsid w:val="302167F0"/>
    <w:rsid w:val="30966D45"/>
    <w:rsid w:val="30A92595"/>
    <w:rsid w:val="30DE1637"/>
    <w:rsid w:val="31312304"/>
    <w:rsid w:val="317D63F9"/>
    <w:rsid w:val="31810428"/>
    <w:rsid w:val="318D4A82"/>
    <w:rsid w:val="3194494F"/>
    <w:rsid w:val="31B33643"/>
    <w:rsid w:val="31F26F24"/>
    <w:rsid w:val="320C05EF"/>
    <w:rsid w:val="326368B8"/>
    <w:rsid w:val="329A1DAF"/>
    <w:rsid w:val="33605DD1"/>
    <w:rsid w:val="33A73B25"/>
    <w:rsid w:val="33C27A25"/>
    <w:rsid w:val="34146FCD"/>
    <w:rsid w:val="35766493"/>
    <w:rsid w:val="359A3DCE"/>
    <w:rsid w:val="35DD2531"/>
    <w:rsid w:val="370461B9"/>
    <w:rsid w:val="38561B4D"/>
    <w:rsid w:val="38AE5E81"/>
    <w:rsid w:val="38CB05B0"/>
    <w:rsid w:val="38DF3709"/>
    <w:rsid w:val="395D7522"/>
    <w:rsid w:val="397011D0"/>
    <w:rsid w:val="3ABE326E"/>
    <w:rsid w:val="3B52009C"/>
    <w:rsid w:val="3BB14C7A"/>
    <w:rsid w:val="3C145651"/>
    <w:rsid w:val="3C5827EE"/>
    <w:rsid w:val="3D393B8C"/>
    <w:rsid w:val="3D527962"/>
    <w:rsid w:val="3D596C10"/>
    <w:rsid w:val="3E081978"/>
    <w:rsid w:val="3E227ECE"/>
    <w:rsid w:val="3EA83354"/>
    <w:rsid w:val="3EE20767"/>
    <w:rsid w:val="3EF904D5"/>
    <w:rsid w:val="3F0F5654"/>
    <w:rsid w:val="3F6D524F"/>
    <w:rsid w:val="40CA0580"/>
    <w:rsid w:val="41176D7E"/>
    <w:rsid w:val="41243D61"/>
    <w:rsid w:val="41EC0A1D"/>
    <w:rsid w:val="420D15E9"/>
    <w:rsid w:val="42232687"/>
    <w:rsid w:val="42237B17"/>
    <w:rsid w:val="42C45F19"/>
    <w:rsid w:val="43E1788B"/>
    <w:rsid w:val="4490067C"/>
    <w:rsid w:val="45A3076C"/>
    <w:rsid w:val="45E82FFE"/>
    <w:rsid w:val="462A26D6"/>
    <w:rsid w:val="466945E6"/>
    <w:rsid w:val="46CC1503"/>
    <w:rsid w:val="46D30DD6"/>
    <w:rsid w:val="479152B7"/>
    <w:rsid w:val="479E2A40"/>
    <w:rsid w:val="481D38E9"/>
    <w:rsid w:val="4878494C"/>
    <w:rsid w:val="48CE1419"/>
    <w:rsid w:val="48D44755"/>
    <w:rsid w:val="493A0A95"/>
    <w:rsid w:val="49A53904"/>
    <w:rsid w:val="49C86D43"/>
    <w:rsid w:val="4A2A35A4"/>
    <w:rsid w:val="4A4D4511"/>
    <w:rsid w:val="4BB35CA5"/>
    <w:rsid w:val="4BC77DE2"/>
    <w:rsid w:val="4CD822EA"/>
    <w:rsid w:val="4D3D48D8"/>
    <w:rsid w:val="4D5E4770"/>
    <w:rsid w:val="4D7554B4"/>
    <w:rsid w:val="4DAD57F5"/>
    <w:rsid w:val="50103B92"/>
    <w:rsid w:val="50952383"/>
    <w:rsid w:val="50F32E7E"/>
    <w:rsid w:val="51EC47BE"/>
    <w:rsid w:val="52494938"/>
    <w:rsid w:val="53786B7E"/>
    <w:rsid w:val="54106F3B"/>
    <w:rsid w:val="550D202E"/>
    <w:rsid w:val="56111C39"/>
    <w:rsid w:val="56D06D29"/>
    <w:rsid w:val="5728296E"/>
    <w:rsid w:val="57681032"/>
    <w:rsid w:val="57AE2AA3"/>
    <w:rsid w:val="5830172E"/>
    <w:rsid w:val="5B6573C7"/>
    <w:rsid w:val="5D5F3816"/>
    <w:rsid w:val="5DFB2EDE"/>
    <w:rsid w:val="5E2217E8"/>
    <w:rsid w:val="5F5413E0"/>
    <w:rsid w:val="61A64AC5"/>
    <w:rsid w:val="61B82E09"/>
    <w:rsid w:val="629E399B"/>
    <w:rsid w:val="631132C2"/>
    <w:rsid w:val="632C5491"/>
    <w:rsid w:val="64FC72F7"/>
    <w:rsid w:val="6528339A"/>
    <w:rsid w:val="655B040B"/>
    <w:rsid w:val="65DA45C3"/>
    <w:rsid w:val="66CD3B3A"/>
    <w:rsid w:val="66D57E8E"/>
    <w:rsid w:val="66DB4CCB"/>
    <w:rsid w:val="66E815EE"/>
    <w:rsid w:val="6746248D"/>
    <w:rsid w:val="682A2992"/>
    <w:rsid w:val="68C36749"/>
    <w:rsid w:val="68EF3699"/>
    <w:rsid w:val="692065B6"/>
    <w:rsid w:val="696F2956"/>
    <w:rsid w:val="6A5A35C0"/>
    <w:rsid w:val="6A7B70AD"/>
    <w:rsid w:val="6AE80A4D"/>
    <w:rsid w:val="6BCF78C4"/>
    <w:rsid w:val="6BD2460A"/>
    <w:rsid w:val="6CFE341A"/>
    <w:rsid w:val="6D3C6B38"/>
    <w:rsid w:val="6D6C5BCF"/>
    <w:rsid w:val="6DB20D15"/>
    <w:rsid w:val="6E1A090B"/>
    <w:rsid w:val="6E86664F"/>
    <w:rsid w:val="6E953B35"/>
    <w:rsid w:val="6F801BCE"/>
    <w:rsid w:val="70A03BD8"/>
    <w:rsid w:val="70AA6499"/>
    <w:rsid w:val="70DA333B"/>
    <w:rsid w:val="714D3F69"/>
    <w:rsid w:val="74096E6C"/>
    <w:rsid w:val="74D812DD"/>
    <w:rsid w:val="75223962"/>
    <w:rsid w:val="75313487"/>
    <w:rsid w:val="75391967"/>
    <w:rsid w:val="753E2BA7"/>
    <w:rsid w:val="76300B35"/>
    <w:rsid w:val="76CA0970"/>
    <w:rsid w:val="77A45197"/>
    <w:rsid w:val="77AF410E"/>
    <w:rsid w:val="7835053A"/>
    <w:rsid w:val="78E7455E"/>
    <w:rsid w:val="79FD6845"/>
    <w:rsid w:val="7A421E9A"/>
    <w:rsid w:val="7B314E4F"/>
    <w:rsid w:val="7C137AD0"/>
    <w:rsid w:val="7CDA75D6"/>
    <w:rsid w:val="7CE75BFE"/>
    <w:rsid w:val="7DA84A99"/>
    <w:rsid w:val="7E081F18"/>
    <w:rsid w:val="7E7B5F12"/>
    <w:rsid w:val="7EEA6C55"/>
    <w:rsid w:val="7F07505E"/>
    <w:rsid w:val="7F367DD0"/>
    <w:rsid w:val="7F8B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keepNext/>
      <w:keepLines/>
      <w:spacing w:line="560" w:lineRule="exact"/>
      <w:outlineLvl w:val="1"/>
    </w:pPr>
    <w:rPr>
      <w:rFonts w:ascii="Cambria" w:hAnsi="Cambria" w:eastAsia="楷体"/>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rFonts w:ascii="Calibri" w:hAnsi="Calibri" w:eastAsia="仿宋" w:cs="Times New Roman"/>
      <w:sz w:val="32"/>
    </w:rPr>
  </w:style>
  <w:style w:type="paragraph" w:styleId="5">
    <w:name w:val="toc 2"/>
    <w:basedOn w:val="1"/>
    <w:next w:val="1"/>
    <w:autoRedefine/>
    <w:qFormat/>
    <w:uiPriority w:val="0"/>
    <w:pPr>
      <w:ind w:left="420" w:leftChars="200"/>
    </w:pPr>
  </w:style>
  <w:style w:type="paragraph" w:styleId="6">
    <w:name w:val="Body Text"/>
    <w:basedOn w:val="1"/>
    <w:qFormat/>
    <w:uiPriority w:val="99"/>
    <w:pPr>
      <w:spacing w:after="120"/>
    </w:pPr>
    <w:rPr>
      <w:kern w:val="0"/>
      <w:sz w:val="20"/>
      <w:szCs w:val="20"/>
    </w:rPr>
  </w:style>
  <w:style w:type="paragraph" w:styleId="7">
    <w:name w:val="Body Text Indent"/>
    <w:basedOn w:val="1"/>
    <w:autoRedefine/>
    <w:qFormat/>
    <w:uiPriority w:val="0"/>
    <w:pPr>
      <w:spacing w:after="120"/>
      <w:ind w:left="420" w:leftChars="200"/>
    </w:pPr>
  </w:style>
  <w:style w:type="paragraph" w:styleId="8">
    <w:name w:val="Date"/>
    <w:basedOn w:val="1"/>
    <w:next w:val="1"/>
    <w:autoRedefine/>
    <w:qFormat/>
    <w:uiPriority w:val="0"/>
  </w:style>
  <w:style w:type="paragraph" w:styleId="9">
    <w:name w:val="Body Text Indent 2"/>
    <w:basedOn w:val="1"/>
    <w:autoRedefine/>
    <w:qFormat/>
    <w:uiPriority w:val="0"/>
    <w:pPr>
      <w:tabs>
        <w:tab w:val="left" w:pos="6886"/>
        <w:tab w:val="left" w:pos="7199"/>
        <w:tab w:val="left" w:pos="7512"/>
      </w:tabs>
    </w:pPr>
    <w:rPr>
      <w:rFonts w:ascii="仿宋_GB2312"/>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contextualSpacing/>
    </w:p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autoRedefine/>
    <w:qFormat/>
    <w:uiPriority w:val="0"/>
    <w:rPr>
      <w:sz w:val="21"/>
      <w:szCs w:val="2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basedOn w:val="18"/>
    <w:autoRedefine/>
    <w:qFormat/>
    <w:uiPriority w:val="0"/>
    <w:rPr>
      <w:color w:val="0000FF"/>
      <w:u w:val="single"/>
    </w:rPr>
  </w:style>
  <w:style w:type="paragraph" w:customStyle="1" w:styleId="22">
    <w:name w:val="正文-公1"/>
    <w:basedOn w:val="1"/>
    <w:next w:val="1"/>
    <w:autoRedefine/>
    <w:qFormat/>
    <w:uiPriority w:val="0"/>
    <w:pPr>
      <w:ind w:firstLine="200" w:firstLineChars="200"/>
      <w:jc w:val="left"/>
    </w:pPr>
    <w:rPr>
      <w:rFonts w:eastAsia="仿宋_GB2312"/>
    </w:rPr>
  </w:style>
  <w:style w:type="paragraph" w:customStyle="1" w:styleId="23">
    <w:name w:val="正文 New New"/>
    <w:autoRedefine/>
    <w:qFormat/>
    <w:uiPriority w:val="0"/>
    <w:pPr>
      <w:widowControl w:val="0"/>
      <w:jc w:val="both"/>
    </w:pPr>
    <w:rPr>
      <w:rFonts w:ascii="Times New Roman" w:hAnsi="Times New Roman" w:eastAsia="宋体" w:cs="Times New Roman"/>
      <w:kern w:val="2"/>
      <w:sz w:val="21"/>
      <w:szCs w:val="24"/>
      <w:lang w:val="en-US" w:eastAsia="zh-CN"/>
    </w:rPr>
  </w:style>
  <w:style w:type="paragraph" w:styleId="24">
    <w:name w:val="List Paragraph"/>
    <w:basedOn w:val="1"/>
    <w:autoRedefine/>
    <w:qFormat/>
    <w:uiPriority w:val="34"/>
    <w:pPr>
      <w:ind w:firstLine="420" w:firstLineChars="200"/>
    </w:pPr>
  </w:style>
  <w:style w:type="character" w:customStyle="1" w:styleId="25">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26">
    <w:name w:val="简单回函地址"/>
    <w:basedOn w:val="1"/>
    <w:autoRedefine/>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794</Words>
  <Characters>843</Characters>
  <Lines>0</Lines>
  <Paragraphs>0</Paragraphs>
  <TotalTime>6</TotalTime>
  <ScaleCrop>false</ScaleCrop>
  <LinksUpToDate>false</LinksUpToDate>
  <CharactersWithSpaces>846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2023-02-17T01:33:00Z</dcterms:created>
  <dc:creator>gg</dc:creator>
  <cp:lastModifiedBy>马宁</cp:lastModifiedBy>
  <cp:lastPrinted>2025-01-07T06:21:00Z</cp:lastPrinted>
  <dcterms:modified xsi:type="dcterms:W3CDTF">2025-02-19T02:10:58Z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434581B12C394AE5AB5BB873E5721A48_13</vt:lpwstr>
  </property>
  <property fmtid="{D5CDD505-2E9C-101B-9397-08002B2CF9AE}" pid="4" name="KSOTemplateDocerSaveRecord">
    <vt:lpwstr>eyJoZGlkIjoiNmFiNDZhNWE1NmVmNjZlOTE5ZTI0YTU3ZDgxYWMwZjAiLCJ1c2VySWQiOiI3NDY1MTg2NTYifQ==</vt:lpwstr>
  </property>
</Properties>
</file>