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hint="eastAsia" w:ascii="黑体" w:hAnsi="宋体" w:eastAsia="黑体" w:cs="黑体"/>
          <w:caps w:val="0"/>
          <w:color w:val="000000"/>
          <w:spacing w:val="0"/>
          <w:sz w:val="44"/>
          <w:szCs w:val="44"/>
          <w:shd w:val="clear" w:fill="FFFFFF"/>
          <w:lang w:eastAsia="zh-CN"/>
        </w:rPr>
      </w:pPr>
      <w:r>
        <w:rPr>
          <w:rFonts w:hint="eastAsia" w:ascii="黑体" w:eastAsia="黑体" w:cs="黑体"/>
          <w:caps w:val="0"/>
          <w:color w:val="000000"/>
          <w:spacing w:val="0"/>
          <w:sz w:val="44"/>
          <w:szCs w:val="44"/>
          <w:shd w:val="clear" w:fill="FFFFFF"/>
          <w:lang w:eastAsia="zh-CN"/>
        </w:rPr>
        <w:t>长春市人民政府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黑体" w:hAnsi="宋体" w:eastAsia="黑体" w:cs="黑体"/>
          <w:caps w:val="0"/>
          <w:color w:val="000000"/>
          <w:spacing w:val="0"/>
          <w:sz w:val="36"/>
          <w:szCs w:val="36"/>
        </w:rPr>
      </w:pPr>
      <w:r>
        <w:rPr>
          <w:rFonts w:hint="eastAsia" w:ascii="黑体" w:hAnsi="宋体" w:eastAsia="黑体" w:cs="黑体"/>
          <w:caps w:val="0"/>
          <w:color w:val="000000"/>
          <w:spacing w:val="0"/>
          <w:sz w:val="44"/>
          <w:szCs w:val="44"/>
          <w:shd w:val="clear" w:fill="FFFFFF"/>
        </w:rPr>
        <w:t>关于开展清收林地实施还林的通告</w:t>
      </w:r>
    </w:p>
    <w:p>
      <w:pPr>
        <w:keepNext w:val="0"/>
        <w:keepLines w:val="0"/>
        <w:widowControl/>
        <w:suppressLineNumbers w:val="0"/>
        <w:spacing w:after="240" w:afterAutospacing="0"/>
        <w:jc w:val="center"/>
        <w:rPr>
          <w:rFonts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（征求意</w:t>
      </w:r>
      <w:bookmarkStart w:id="0" w:name="_GoBack"/>
      <w:bookmarkEnd w:id="0"/>
      <w:r>
        <w:rPr>
          <w:rFonts w:hint="eastAsia" w:ascii="微软雅黑" w:hAnsi="微软雅黑" w:eastAsia="微软雅黑" w:cs="微软雅黑"/>
          <w:i w:val="0"/>
          <w:iCs w:val="0"/>
          <w:caps w:val="0"/>
          <w:color w:val="000000"/>
          <w:spacing w:val="0"/>
          <w:kern w:val="0"/>
          <w:sz w:val="24"/>
          <w:szCs w:val="24"/>
          <w:shd w:val="clear" w:fill="FFFFFF"/>
          <w:lang w:val="en-US" w:eastAsia="zh-CN" w:bidi="ar"/>
        </w:rPr>
        <w:t>见稿）</w:t>
      </w:r>
    </w:p>
    <w:p>
      <w:pPr>
        <w:keepNext w:val="0"/>
        <w:keepLines w:val="0"/>
        <w:widowControl/>
        <w:suppressLineNumbers w:val="0"/>
        <w:spacing w:after="240" w:afterAutospacing="0"/>
        <w:ind w:firstLine="640" w:firstLineChars="2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为了全面治理毁林开垦非法侵占林地行为，巩固生态建设成果，保证生态资源安全。根据中共吉林省委办公厅 吉林省人民政府印发《关于开展大规模国土绿化行动的意见》的通知（吉办发〔2021〕11号）精神，经研究，长春市人民政府决定在全市范围内开展清收林地实施还林工作，现通告如下：</w:t>
      </w:r>
    </w:p>
    <w:p>
      <w:pPr>
        <w:keepNext w:val="0"/>
        <w:keepLines w:val="0"/>
        <w:widowControl/>
        <w:suppressLineNumbers w:val="0"/>
        <w:spacing w:after="240" w:afterAutospacing="0"/>
        <w:ind w:firstLine="640" w:firstLineChars="200"/>
        <w:jc w:val="left"/>
        <w:rPr>
          <w:rFonts w:hint="eastAsia" w:ascii="仿宋" w:hAnsi="仿宋" w:eastAsia="仿宋" w:cs="仿宋"/>
          <w:color w:val="00000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一、林地清收范围</w:t>
      </w:r>
      <w:r>
        <w:rPr>
          <w:rFonts w:hint="eastAsia" w:ascii="仿宋" w:hAnsi="仿宋" w:eastAsia="仿宋" w:cs="仿宋"/>
          <w:color w:val="000000"/>
          <w:sz w:val="32"/>
          <w:szCs w:val="32"/>
          <w:shd w:val="clear" w:fill="FEFEFE"/>
          <w:lang w:eastAsia="zh-CN"/>
        </w:rPr>
        <w:t>主要包括：</w:t>
      </w:r>
      <w:r>
        <w:rPr>
          <w:rFonts w:hint="eastAsia" w:ascii="仿宋" w:hAnsi="仿宋" w:eastAsia="仿宋" w:cs="仿宋"/>
          <w:color w:val="000000"/>
          <w:sz w:val="32"/>
          <w:szCs w:val="32"/>
          <w:shd w:val="clear" w:fill="FEFEFE"/>
        </w:rPr>
        <w:t>毁林开垦和侵占蚕食的林地、采伐后未更新和未还林被耕种的林地、承包用于耕种的林地、规划未造林的林地、更新造林后未达标</w:t>
      </w:r>
      <w:r>
        <w:rPr>
          <w:rFonts w:hint="eastAsia" w:ascii="仿宋" w:hAnsi="仿宋" w:eastAsia="仿宋" w:cs="仿宋"/>
          <w:color w:val="000000"/>
          <w:sz w:val="32"/>
          <w:szCs w:val="32"/>
          <w:shd w:val="clear" w:fill="FEFEFE"/>
          <w:lang w:eastAsia="zh-CN"/>
        </w:rPr>
        <w:t>进</w:t>
      </w:r>
      <w:r>
        <w:rPr>
          <w:rFonts w:hint="eastAsia" w:ascii="仿宋" w:hAnsi="仿宋" w:eastAsia="仿宋" w:cs="仿宋"/>
          <w:color w:val="000000"/>
          <w:sz w:val="32"/>
          <w:szCs w:val="32"/>
          <w:shd w:val="clear" w:fill="FEFEFE"/>
        </w:rPr>
        <w:t>行林粮间种的林地、林地范围内被开垦耕种的湿地和草地、国有林业企事业单位职工工资田及其他毁林开垦和侵占蚕食的林地。</w:t>
      </w:r>
    </w:p>
    <w:p>
      <w:pPr>
        <w:keepNext w:val="0"/>
        <w:keepLines w:val="0"/>
        <w:widowControl/>
        <w:numPr>
          <w:ilvl w:val="0"/>
          <w:numId w:val="1"/>
        </w:numPr>
        <w:suppressLineNumbers w:val="0"/>
        <w:spacing w:after="240" w:afterAutospacing="0"/>
        <w:ind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对已经纳入二轮土地承包的，由林地所有权单位与使用人签订林地使用合同，二轮土地承包期满后，由林地所有权单位收回并还林，没有纳入二轮土地承包的毁林开荒林地要依法收回，进行还林。</w:t>
      </w:r>
    </w:p>
    <w:p>
      <w:pPr>
        <w:keepNext w:val="0"/>
        <w:keepLines w:val="0"/>
        <w:widowControl/>
        <w:numPr>
          <w:ilvl w:val="0"/>
          <w:numId w:val="0"/>
        </w:numPr>
        <w:suppressLineNumbers w:val="0"/>
        <w:spacing w:after="240" w:afterAutospacing="0"/>
        <w:ind w:firstLine="320" w:firstLineChars="100"/>
        <w:jc w:val="left"/>
        <w:rPr>
          <w:rFonts w:hint="eastAsia" w:ascii="仿宋" w:hAnsi="仿宋" w:eastAsia="仿宋" w:cs="仿宋"/>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三、凡对外承包用于耕种的林地及承包造林但仍在耕种的林地，要全部停耕还林。还林地块决不允许林粮兼种或以栽种经济林等为由继续耕种。</w:t>
      </w:r>
    </w:p>
    <w:p>
      <w:pPr>
        <w:keepNext w:val="0"/>
        <w:keepLines w:val="0"/>
        <w:widowControl/>
        <w:numPr>
          <w:ilvl w:val="0"/>
          <w:numId w:val="0"/>
        </w:numPr>
        <w:suppressLineNumbers w:val="0"/>
        <w:spacing w:after="240" w:afterAutospacing="0"/>
        <w:ind w:firstLine="640" w:firstLineChars="200"/>
        <w:jc w:val="left"/>
        <w:rPr>
          <w:rFonts w:hint="eastAsia" w:ascii="仿宋" w:hAnsi="仿宋" w:eastAsia="仿宋" w:cs="仿宋"/>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四、对已经收回的国有林地，由国有单位组织造林。收回的集体林地，可采取合作造林、承包造林等方式进行还林。</w:t>
      </w:r>
    </w:p>
    <w:p>
      <w:pPr>
        <w:keepNext w:val="0"/>
        <w:keepLines w:val="0"/>
        <w:widowControl/>
        <w:numPr>
          <w:ilvl w:val="0"/>
          <w:numId w:val="0"/>
        </w:numPr>
        <w:suppressLineNumbers w:val="0"/>
        <w:spacing w:after="240" w:afterAutospacing="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 xml:space="preserve">    五、依法承包国有、集体林地造林的承包户，集体林权制度改革后，已确权到户的林地经营者应严格履行协议及时造林，确保林木成活率。对违反合同约定继续耕种农作物的，由林地所有权单位依法解除林地承包合同，同时报林业执法部门依法查处，情节严重构成犯罪的依法追究刑事责任。</w:t>
      </w:r>
    </w:p>
    <w:p>
      <w:pPr>
        <w:keepNext w:val="0"/>
        <w:keepLines w:val="0"/>
        <w:widowControl/>
        <w:numPr>
          <w:ilvl w:val="0"/>
          <w:numId w:val="0"/>
        </w:numPr>
        <w:suppressLineNumbers w:val="0"/>
        <w:spacing w:after="240" w:afterAutospacing="0"/>
        <w:ind w:firstLine="320" w:firstLineChars="1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    六、广大群众要积极支持配合清收还林工作，对策划煽动、阻碍、干扰国家工作人员正常执行公务的不法行为人，由公安机关依据《中华人民共和国治安管理处罚法》予以处罚，情节严重的依法追究刑事责任；对拒不停耕、非法开垦林地等行为，由行政执法机关根据《中华人民共和国森林法》、《中华人民共和国森林法实施条例》予以处罚，情节严重的由公安机关依据《中华人民共和国刑法》、《最高人民法院关于审理破坏林地资源刑事案件具体应用法律若干问题的解释》（法释〔2005〕15号）规定查处。</w:t>
      </w:r>
    </w:p>
    <w:p>
      <w:pPr>
        <w:keepNext w:val="0"/>
        <w:keepLines w:val="0"/>
        <w:widowControl/>
        <w:numPr>
          <w:ilvl w:val="0"/>
          <w:numId w:val="0"/>
        </w:numPr>
        <w:suppressLineNumbers w:val="0"/>
        <w:spacing w:after="240" w:afterAutospacing="0"/>
        <w:ind w:firstLine="320" w:firstLineChars="10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    七、本通告自发布之日起实施。</w:t>
      </w:r>
    </w:p>
    <w:p>
      <w:pPr>
        <w:keepNext w:val="0"/>
        <w:keepLines w:val="0"/>
        <w:widowControl/>
        <w:numPr>
          <w:ilvl w:val="0"/>
          <w:numId w:val="0"/>
        </w:numPr>
        <w:suppressLineNumbers w:val="0"/>
        <w:spacing w:after="240" w:afterAutospacing="0"/>
        <w:ind w:firstLine="320" w:firstLineChars="100"/>
        <w:jc w:val="left"/>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widowControl/>
        <w:numPr>
          <w:ilvl w:val="0"/>
          <w:numId w:val="0"/>
        </w:numPr>
        <w:suppressLineNumbers w:val="0"/>
        <w:spacing w:after="240" w:afterAutospacing="0"/>
        <w:ind w:firstLine="320" w:firstLineChars="100"/>
        <w:jc w:val="left"/>
        <w:rPr>
          <w:rFonts w:hint="eastAsia" w:ascii="仿宋" w:hAnsi="仿宋" w:eastAsia="仿宋" w:cs="仿宋"/>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    特此通告。</w:t>
      </w:r>
    </w:p>
    <w:p>
      <w:pPr>
        <w:keepNext w:val="0"/>
        <w:keepLines w:val="0"/>
        <w:widowControl/>
        <w:suppressLineNumbers w:val="0"/>
        <w:shd w:val="clear" w:fill="FFFFFF"/>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 xml:space="preserve">                           </w:t>
      </w:r>
    </w:p>
    <w:p>
      <w:pPr>
        <w:keepNext w:val="0"/>
        <w:keepLines w:val="0"/>
        <w:widowControl/>
        <w:suppressLineNumbers w:val="0"/>
        <w:shd w:val="clear" w:fill="FFFFFF"/>
        <w:jc w:val="left"/>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jc w:val="left"/>
        <w:rPr>
          <w:rFonts w:hint="eastAsia" w:ascii="仿宋" w:hAnsi="仿宋" w:eastAsia="仿宋" w:cs="仿宋"/>
          <w:i w:val="0"/>
          <w:iCs w:val="0"/>
          <w:caps w:val="0"/>
          <w:color w:val="000000"/>
          <w:spacing w:val="0"/>
          <w:kern w:val="0"/>
          <w:sz w:val="32"/>
          <w:szCs w:val="32"/>
          <w:shd w:val="clear" w:fill="FFFFFF"/>
          <w:lang w:val="en-US" w:eastAsia="zh-CN" w:bidi="ar"/>
        </w:rPr>
      </w:pPr>
    </w:p>
    <w:p>
      <w:pPr>
        <w:keepNext w:val="0"/>
        <w:keepLines w:val="0"/>
        <w:widowControl/>
        <w:suppressLineNumbers w:val="0"/>
        <w:shd w:val="clear" w:fill="FFFFFF"/>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 xml:space="preserve">                              长春市人民政府</w:t>
      </w:r>
    </w:p>
    <w:p>
      <w:pPr>
        <w:keepNext w:val="0"/>
        <w:keepLines w:val="0"/>
        <w:widowControl/>
        <w:suppressLineNumbers w:val="0"/>
        <w:shd w:val="clear" w:fill="FFFFFF"/>
        <w:ind w:firstLine="4800" w:firstLineChars="1500"/>
        <w:jc w:val="left"/>
        <w:rPr>
          <w:rFonts w:hint="eastAsia" w:ascii="仿宋" w:hAnsi="仿宋" w:eastAsia="仿宋" w:cs="仿宋"/>
          <w:i w:val="0"/>
          <w:iCs w:val="0"/>
          <w:caps w:val="0"/>
          <w:color w:val="000000"/>
          <w:spacing w:val="0"/>
          <w:sz w:val="32"/>
          <w:szCs w:val="32"/>
          <w:lang w:val="en-US"/>
        </w:rPr>
      </w:pPr>
      <w:r>
        <w:rPr>
          <w:rFonts w:hint="eastAsia" w:ascii="仿宋" w:hAnsi="仿宋" w:eastAsia="仿宋" w:cs="仿宋"/>
          <w:i w:val="0"/>
          <w:iCs w:val="0"/>
          <w:caps w:val="0"/>
          <w:color w:val="000000"/>
          <w:spacing w:val="0"/>
          <w:kern w:val="0"/>
          <w:sz w:val="32"/>
          <w:szCs w:val="32"/>
          <w:shd w:val="clear" w:fill="FFFFFF"/>
          <w:lang w:val="en-US" w:eastAsia="zh-CN" w:bidi="ar"/>
        </w:rPr>
        <w:t>2021年9月13日</w:t>
      </w:r>
    </w:p>
    <w:p>
      <w:pPr>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0BA5F3"/>
    <w:multiLevelType w:val="singleLevel"/>
    <w:tmpl w:val="E10BA5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C708B"/>
    <w:rsid w:val="00A22C72"/>
    <w:rsid w:val="02D40C9A"/>
    <w:rsid w:val="06F32201"/>
    <w:rsid w:val="11DB1818"/>
    <w:rsid w:val="15766E90"/>
    <w:rsid w:val="1BFE7DB9"/>
    <w:rsid w:val="1EA1431C"/>
    <w:rsid w:val="1FD168BE"/>
    <w:rsid w:val="22E679C2"/>
    <w:rsid w:val="277440C7"/>
    <w:rsid w:val="2EA01673"/>
    <w:rsid w:val="324A6884"/>
    <w:rsid w:val="32D3647C"/>
    <w:rsid w:val="382F6A5E"/>
    <w:rsid w:val="384C121C"/>
    <w:rsid w:val="3B9E16D8"/>
    <w:rsid w:val="41E703B5"/>
    <w:rsid w:val="4C883724"/>
    <w:rsid w:val="57DA2B66"/>
    <w:rsid w:val="5CAC3A6C"/>
    <w:rsid w:val="64032A98"/>
    <w:rsid w:val="658A39EE"/>
    <w:rsid w:val="6669047D"/>
    <w:rsid w:val="684A1741"/>
    <w:rsid w:val="68A16C60"/>
    <w:rsid w:val="6BDA2AD1"/>
    <w:rsid w:val="6EB9150D"/>
    <w:rsid w:val="772C708B"/>
    <w:rsid w:val="77B96133"/>
    <w:rsid w:val="79076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2021-09-13T00:55:00Z</dcterms:created>
  <dc:creator>市林园局&amp;马佳瑞</dc:creator>
  <cp:lastModifiedBy>马宁</cp:lastModifiedBy>
  <dcterms:modified xsi:type="dcterms:W3CDTF">2021-09-15T02:08:44Z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7353F582A09A4BC4B98749E02EF6EEC3</vt:lpwstr>
  </property>
</Properties>
</file>