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heme="majorEastAsia" w:hAnsiTheme="majorEastAsia" w:eastAsiaTheme="majorEastAsia" w:cstheme="majorEastAsia"/>
          <w:b/>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heme="majorEastAsia" w:hAnsiTheme="majorEastAsia" w:eastAsiaTheme="majorEastAsia" w:cstheme="majorEastAsia"/>
          <w:b/>
          <w:color w:val="000000"/>
          <w:sz w:val="44"/>
          <w:szCs w:val="44"/>
          <w:lang w:val="en-US" w:eastAsia="zh-CN"/>
        </w:rPr>
      </w:pPr>
      <w:r>
        <w:rPr>
          <w:rFonts w:hint="eastAsia" w:asciiTheme="majorEastAsia" w:hAnsiTheme="majorEastAsia" w:eastAsiaTheme="majorEastAsia" w:cstheme="majorEastAsia"/>
          <w:b/>
          <w:color w:val="000000"/>
          <w:sz w:val="44"/>
          <w:szCs w:val="44"/>
          <w:lang w:val="en-US" w:eastAsia="zh-CN"/>
        </w:rPr>
        <w:t>2023年工作完成情况及2024年工作安排</w:t>
      </w:r>
    </w:p>
    <w:p>
      <w:pPr>
        <w:pStyle w:val="6"/>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Theme="majorEastAsia" w:hAnsiTheme="majorEastAsia" w:eastAsiaTheme="majorEastAsia" w:cstheme="majorEastAsia"/>
          <w:b/>
          <w:color w:val="000000"/>
          <w:sz w:val="44"/>
          <w:szCs w:val="4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楷体" w:eastAsia="楷体"/>
          <w:sz w:val="32"/>
          <w:szCs w:val="32"/>
          <w:lang w:val="en-US" w:eastAsia="zh-CN"/>
        </w:rPr>
      </w:pPr>
      <w:r>
        <w:rPr>
          <w:rFonts w:hint="eastAsia" w:ascii="楷体" w:eastAsia="楷体"/>
          <w:sz w:val="32"/>
          <w:szCs w:val="32"/>
          <w:lang w:eastAsia="zh-CN"/>
        </w:rPr>
        <w:t>长春</w:t>
      </w:r>
      <w:r>
        <w:rPr>
          <w:rFonts w:hint="eastAsia" w:ascii="楷体" w:eastAsia="楷体"/>
          <w:sz w:val="32"/>
          <w:szCs w:val="32"/>
        </w:rPr>
        <w:t>市</w:t>
      </w:r>
      <w:r>
        <w:rPr>
          <w:rFonts w:hint="eastAsia" w:ascii="楷体" w:eastAsia="楷体"/>
          <w:sz w:val="32"/>
          <w:szCs w:val="32"/>
          <w:lang w:val="en-US" w:eastAsia="zh-CN"/>
        </w:rPr>
        <w:t>林业和园林局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0"/>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年初以来，</w:t>
      </w:r>
      <w:r>
        <w:rPr>
          <w:rFonts w:hint="eastAsia" w:ascii="仿宋_GB2312" w:hAnsi="仿宋_GB2312" w:eastAsia="仿宋_GB2312" w:cs="仿宋_GB2312"/>
          <w:kern w:val="1"/>
          <w:sz w:val="32"/>
          <w:szCs w:val="32"/>
          <w:lang w:eastAsia="zh-CN"/>
        </w:rPr>
        <w:t>按照</w:t>
      </w:r>
      <w:r>
        <w:rPr>
          <w:rFonts w:hint="eastAsia" w:ascii="仿宋_GB2312" w:hAnsi="仿宋_GB2312" w:eastAsia="仿宋_GB2312" w:cs="仿宋_GB2312"/>
          <w:kern w:val="1"/>
          <w:sz w:val="32"/>
          <w:szCs w:val="32"/>
          <w:lang w:val="en-US" w:eastAsia="zh-CN"/>
        </w:rPr>
        <w:t>市委</w:t>
      </w:r>
      <w:r>
        <w:rPr>
          <w:rFonts w:hint="eastAsia" w:ascii="仿宋_GB2312" w:hAnsi="仿宋_GB2312" w:eastAsia="仿宋_GB2312" w:cs="仿宋_GB2312"/>
          <w:kern w:val="1"/>
          <w:sz w:val="32"/>
          <w:szCs w:val="32"/>
          <w:lang w:eastAsia="zh-CN"/>
        </w:rPr>
        <w:t>市政府</w:t>
      </w:r>
      <w:r>
        <w:rPr>
          <w:rFonts w:hint="eastAsia" w:ascii="仿宋_GB2312" w:hAnsi="仿宋_GB2312" w:eastAsia="仿宋_GB2312" w:cs="仿宋_GB2312"/>
          <w:kern w:val="1"/>
          <w:sz w:val="32"/>
          <w:szCs w:val="32"/>
          <w:lang w:val="en-US" w:eastAsia="zh-CN"/>
        </w:rPr>
        <w:t>安排</w:t>
      </w:r>
      <w:r>
        <w:rPr>
          <w:rFonts w:hint="eastAsia" w:ascii="仿宋_GB2312" w:hAnsi="仿宋_GB2312" w:eastAsia="仿宋_GB2312" w:cs="仿宋_GB2312"/>
          <w:kern w:val="1"/>
          <w:sz w:val="32"/>
          <w:szCs w:val="32"/>
          <w:lang w:eastAsia="zh-CN"/>
        </w:rPr>
        <w:t>部署，在</w:t>
      </w:r>
      <w:r>
        <w:rPr>
          <w:rFonts w:hint="eastAsia" w:ascii="仿宋_GB2312" w:hAnsi="仿宋_GB2312" w:eastAsia="仿宋_GB2312" w:cs="仿宋_GB2312"/>
          <w:kern w:val="1"/>
          <w:sz w:val="32"/>
          <w:szCs w:val="32"/>
          <w:lang w:val="en-US" w:eastAsia="zh-CN"/>
        </w:rPr>
        <w:t>少清副市长</w:t>
      </w:r>
      <w:r>
        <w:rPr>
          <w:rFonts w:hint="eastAsia" w:ascii="仿宋_GB2312" w:hAnsi="仿宋_GB2312" w:eastAsia="仿宋_GB2312" w:cs="仿宋_GB2312"/>
          <w:kern w:val="1"/>
          <w:sz w:val="32"/>
          <w:szCs w:val="32"/>
          <w:lang w:eastAsia="zh-CN"/>
        </w:rPr>
        <w:t>带领下，市林园局</w:t>
      </w:r>
      <w:r>
        <w:rPr>
          <w:rFonts w:hint="eastAsia" w:ascii="仿宋_GB2312" w:hAnsi="仿宋_GB2312" w:eastAsia="仿宋_GB2312" w:cs="仿宋_GB2312"/>
          <w:kern w:val="1"/>
          <w:sz w:val="32"/>
          <w:szCs w:val="32"/>
          <w:lang w:val="en-US" w:eastAsia="zh-CN"/>
        </w:rPr>
        <w:t>精心组织，科学调配各方面力量，全面推动各项工作提标、提速、提质、提效,各项工作取得显著成效，</w:t>
      </w:r>
      <w:r>
        <w:rPr>
          <w:rStyle w:val="10"/>
          <w:rFonts w:hint="eastAsia" w:ascii="仿宋_GB2312" w:hAnsi="仿宋_GB2312" w:eastAsia="仿宋_GB2312" w:cs="仿宋_GB2312"/>
          <w:sz w:val="32"/>
          <w:szCs w:val="32"/>
          <w:lang w:val="en-US" w:eastAsia="zh-CN"/>
        </w:rPr>
        <w:t>产生了诸多亮点。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50"/>
        <w:jc w:val="both"/>
        <w:textAlignment w:val="auto"/>
        <w:rPr>
          <w:rFonts w:hint="eastAsia" w:ascii="黑体" w:hAnsi="黑体" w:eastAsia="黑体" w:cs="黑体"/>
          <w:kern w:val="1"/>
          <w:sz w:val="32"/>
          <w:szCs w:val="32"/>
          <w:lang w:val="en-US" w:eastAsia="zh-CN"/>
        </w:rPr>
      </w:pPr>
      <w:r>
        <w:rPr>
          <w:rFonts w:hint="eastAsia" w:ascii="黑体" w:hAnsi="黑体" w:eastAsia="黑体" w:cs="黑体"/>
          <w:kern w:val="1"/>
          <w:sz w:val="32"/>
          <w:szCs w:val="32"/>
          <w:lang w:val="en-US" w:eastAsia="zh-CN"/>
        </w:rPr>
        <w:t>一、2023年重点工作进展情况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Style w:val="10"/>
          <w:rFonts w:hint="eastAsia" w:ascii="仿宋" w:hAnsi="仿宋" w:eastAsia="仿宋" w:cstheme="minorBidi"/>
          <w:kern w:val="2"/>
          <w:lang w:eastAsia="zh-CN"/>
        </w:rPr>
      </w:pPr>
      <w:r>
        <w:rPr>
          <w:rFonts w:hint="eastAsia" w:ascii="楷体" w:hAnsi="楷体" w:eastAsia="楷体" w:cs="楷体"/>
          <w:b/>
          <w:bCs/>
          <w:sz w:val="32"/>
          <w:szCs w:val="32"/>
          <w:lang w:val="en-US" w:eastAsia="zh-CN"/>
        </w:rPr>
        <w:t>一是牢牢抓实党的建设。</w:t>
      </w:r>
      <w:r>
        <w:rPr>
          <w:rStyle w:val="10"/>
          <w:rFonts w:hint="eastAsia" w:ascii="仿宋" w:hAnsi="仿宋" w:eastAsia="仿宋" w:cstheme="minorBidi"/>
          <w:kern w:val="2"/>
        </w:rPr>
        <w:t>认真学习宣传贯彻党的二十大精神，全面落实习近平总书记在中央和国家机关党的建设工作会议上的重要讲话精神，坚持不懈抓实党的政治建设，强化新时代党的创新理论武装，推动机关党</w:t>
      </w:r>
      <w:r>
        <w:rPr>
          <w:rStyle w:val="10"/>
          <w:rFonts w:hint="eastAsia" w:ascii="仿宋" w:hAnsi="仿宋" w:eastAsia="仿宋" w:cstheme="minorBidi"/>
          <w:kern w:val="2"/>
          <w:lang w:val="en-US" w:eastAsia="zh-CN"/>
        </w:rPr>
        <w:t>建工作</w:t>
      </w:r>
      <w:r>
        <w:rPr>
          <w:rStyle w:val="10"/>
          <w:rFonts w:hint="eastAsia" w:ascii="仿宋" w:hAnsi="仿宋" w:eastAsia="仿宋" w:cstheme="minorBidi"/>
          <w:kern w:val="2"/>
        </w:rPr>
        <w:t>提质增效。</w:t>
      </w:r>
      <w:r>
        <w:rPr>
          <w:rStyle w:val="10"/>
          <w:rFonts w:hint="eastAsia" w:ascii="仿宋" w:hAnsi="仿宋" w:eastAsia="仿宋" w:cstheme="minorBidi"/>
          <w:kern w:val="2"/>
          <w:lang w:val="en-US" w:eastAsia="zh-CN"/>
        </w:rPr>
        <w:t>专班推进BTX建设，召开全局党建会议、</w:t>
      </w:r>
      <w:r>
        <w:rPr>
          <w:rStyle w:val="10"/>
          <w:rFonts w:hint="eastAsia" w:ascii="仿宋" w:hAnsi="仿宋" w:eastAsia="仿宋" w:cstheme="minorBidi"/>
          <w:kern w:val="2"/>
          <w:lang w:eastAsia="zh-CN"/>
        </w:rPr>
        <w:t>基层党组织书记述职评议，</w:t>
      </w:r>
      <w:r>
        <w:rPr>
          <w:rStyle w:val="10"/>
          <w:rFonts w:hint="eastAsia" w:ascii="仿宋" w:hAnsi="仿宋" w:eastAsia="仿宋" w:cstheme="minorBidi"/>
          <w:kern w:val="2"/>
        </w:rPr>
        <w:t>制定</w:t>
      </w:r>
      <w:r>
        <w:rPr>
          <w:rStyle w:val="10"/>
          <w:rFonts w:hint="eastAsia" w:ascii="仿宋" w:hAnsi="仿宋" w:eastAsia="仿宋" w:cstheme="minorBidi"/>
          <w:kern w:val="2"/>
          <w:lang w:val="en-US" w:eastAsia="zh-CN"/>
        </w:rPr>
        <w:t>下发</w:t>
      </w:r>
      <w:r>
        <w:rPr>
          <w:rStyle w:val="10"/>
          <w:rFonts w:hint="eastAsia" w:ascii="仿宋" w:hAnsi="仿宋" w:eastAsia="仿宋" w:cstheme="minorBidi"/>
          <w:kern w:val="2"/>
        </w:rPr>
        <w:t>党建工作要点、意识形态工作指导意见、局中心组理论学习计划方案和干部理论学习计划</w:t>
      </w:r>
      <w:r>
        <w:rPr>
          <w:rStyle w:val="10"/>
          <w:rFonts w:hint="eastAsia" w:ascii="仿宋" w:hAnsi="仿宋" w:eastAsia="仿宋" w:cstheme="minorBidi"/>
          <w:kern w:val="2"/>
          <w:lang w:val="en-US" w:eastAsia="zh-CN"/>
        </w:rPr>
        <w:t>等文件</w:t>
      </w:r>
      <w:r>
        <w:rPr>
          <w:rStyle w:val="10"/>
          <w:rFonts w:hint="eastAsia" w:ascii="仿宋" w:hAnsi="仿宋" w:eastAsia="仿宋" w:cstheme="minorBidi"/>
          <w:kern w:val="2"/>
          <w:lang w:eastAsia="zh-CN"/>
        </w:rPr>
        <w:t>，</w:t>
      </w:r>
      <w:r>
        <w:rPr>
          <w:rStyle w:val="10"/>
          <w:rFonts w:hint="eastAsia" w:ascii="仿宋" w:hAnsi="仿宋" w:eastAsia="仿宋" w:cstheme="minorBidi"/>
          <w:kern w:val="2"/>
          <w:lang w:val="en-US" w:eastAsia="zh-CN"/>
        </w:rPr>
        <w:t>局党组理论中心组学习15次。扎实开展主题教育，成立局主题教育领导小组，有针对性确定调研</w:t>
      </w:r>
      <w:r>
        <w:rPr>
          <w:rStyle w:val="10"/>
          <w:rFonts w:hint="eastAsia" w:ascii="仿宋" w:hAnsi="仿宋" w:eastAsia="仿宋" w:cstheme="minorBidi"/>
          <w:kern w:val="2"/>
          <w:lang w:eastAsia="zh-CN"/>
        </w:rPr>
        <w:t>题目</w:t>
      </w:r>
      <w:r>
        <w:rPr>
          <w:rStyle w:val="10"/>
          <w:rFonts w:hint="eastAsia" w:ascii="仿宋" w:hAnsi="仿宋" w:eastAsia="仿宋" w:cstheme="minorBidi"/>
          <w:kern w:val="2"/>
          <w:lang w:val="en-US" w:eastAsia="zh-CN"/>
        </w:rPr>
        <w:t>4个，局党组成员深入基层一线调研29次，收集梳理问题15个，制定任务措施47条、</w:t>
      </w:r>
      <w:r>
        <w:rPr>
          <w:rStyle w:val="10"/>
          <w:rFonts w:hint="eastAsia" w:ascii="仿宋" w:hAnsi="仿宋" w:eastAsia="仿宋" w:cstheme="minorBidi"/>
          <w:kern w:val="2"/>
          <w:lang w:val="en"/>
        </w:rPr>
        <w:t>整改措施</w:t>
      </w:r>
      <w:r>
        <w:rPr>
          <w:rStyle w:val="10"/>
          <w:rFonts w:hint="eastAsia" w:ascii="仿宋" w:hAnsi="仿宋" w:eastAsia="仿宋" w:cstheme="minorBidi"/>
          <w:kern w:val="2"/>
          <w:lang w:val="en-US" w:eastAsia="zh-CN"/>
        </w:rPr>
        <w:t>24项</w:t>
      </w:r>
      <w:r>
        <w:rPr>
          <w:rStyle w:val="10"/>
          <w:rFonts w:hint="eastAsia" w:ascii="仿宋" w:hAnsi="仿宋" w:eastAsia="仿宋" w:cstheme="minorBidi"/>
          <w:kern w:val="2"/>
          <w:lang w:val="en"/>
        </w:rPr>
        <w:t>，</w:t>
      </w:r>
      <w:r>
        <w:rPr>
          <w:rStyle w:val="10"/>
          <w:rFonts w:hint="eastAsia" w:ascii="仿宋" w:hAnsi="仿宋" w:eastAsia="仿宋" w:cstheme="minorBidi"/>
          <w:kern w:val="2"/>
          <w:lang w:val="en" w:eastAsia="zh-CN"/>
        </w:rPr>
        <w:t>取得阶段性成效。</w:t>
      </w:r>
      <w:r>
        <w:rPr>
          <w:rStyle w:val="10"/>
          <w:rFonts w:hint="eastAsia" w:ascii="仿宋" w:hAnsi="仿宋" w:eastAsia="仿宋" w:cstheme="minorBidi"/>
          <w:kern w:val="2"/>
          <w:lang w:val="en"/>
        </w:rPr>
        <w:t>严肃党内政治生活</w:t>
      </w:r>
      <w:r>
        <w:rPr>
          <w:rStyle w:val="10"/>
          <w:rFonts w:hint="eastAsia" w:ascii="仿宋" w:hAnsi="仿宋" w:eastAsia="仿宋" w:cstheme="minorBidi"/>
          <w:kern w:val="2"/>
          <w:lang w:val="en" w:eastAsia="zh-CN"/>
        </w:rPr>
        <w:t>，</w:t>
      </w:r>
      <w:r>
        <w:rPr>
          <w:rStyle w:val="10"/>
          <w:rFonts w:hint="eastAsia" w:ascii="仿宋" w:hAnsi="仿宋" w:eastAsia="仿宋" w:cstheme="minorBidi"/>
          <w:kern w:val="2"/>
          <w:lang w:val="en"/>
        </w:rPr>
        <w:t>严格执行《关于新形势下党内政治生活的若干准则》，</w:t>
      </w:r>
      <w:r>
        <w:rPr>
          <w:rStyle w:val="10"/>
          <w:rFonts w:hint="eastAsia" w:ascii="仿宋" w:hAnsi="仿宋" w:eastAsia="仿宋" w:cstheme="minorBidi"/>
          <w:kern w:val="2"/>
          <w:lang w:val="en" w:eastAsia="zh-CN"/>
        </w:rPr>
        <w:t>抓好</w:t>
      </w:r>
      <w:r>
        <w:rPr>
          <w:rStyle w:val="10"/>
          <w:rFonts w:hint="eastAsia" w:ascii="仿宋" w:hAnsi="仿宋" w:eastAsia="仿宋" w:cstheme="minorBidi"/>
          <w:kern w:val="2"/>
          <w:lang w:val="en"/>
        </w:rPr>
        <w:t>民主集中制、“三会一课”</w:t>
      </w:r>
      <w:r>
        <w:rPr>
          <w:rStyle w:val="10"/>
          <w:rFonts w:hint="eastAsia" w:ascii="仿宋" w:hAnsi="仿宋" w:eastAsia="仿宋" w:cstheme="minorBidi"/>
          <w:kern w:val="2"/>
          <w:lang w:val="en" w:eastAsia="zh-CN"/>
        </w:rPr>
        <w:t>等党内生活</w:t>
      </w:r>
      <w:r>
        <w:rPr>
          <w:rStyle w:val="10"/>
          <w:rFonts w:hint="eastAsia" w:ascii="仿宋" w:hAnsi="仿宋" w:eastAsia="仿宋" w:cstheme="minorBidi"/>
          <w:kern w:val="2"/>
          <w:lang w:val="en"/>
        </w:rPr>
        <w:t>制度</w:t>
      </w:r>
      <w:r>
        <w:rPr>
          <w:rStyle w:val="10"/>
          <w:rFonts w:hint="eastAsia" w:ascii="仿宋" w:hAnsi="仿宋" w:eastAsia="仿宋" w:cstheme="minorBidi"/>
          <w:kern w:val="2"/>
          <w:lang w:val="en" w:eastAsia="zh-CN"/>
        </w:rPr>
        <w:t>落实，</w:t>
      </w:r>
      <w:r>
        <w:rPr>
          <w:rStyle w:val="10"/>
          <w:rFonts w:hint="eastAsia" w:ascii="仿宋" w:hAnsi="仿宋" w:eastAsia="仿宋" w:cstheme="minorBidi"/>
          <w:kern w:val="2"/>
          <w:lang w:val="en"/>
        </w:rPr>
        <w:t>党内政治生活质量</w:t>
      </w:r>
      <w:r>
        <w:rPr>
          <w:rStyle w:val="10"/>
          <w:rFonts w:hint="eastAsia" w:ascii="仿宋" w:hAnsi="仿宋" w:eastAsia="仿宋" w:cstheme="minorBidi"/>
          <w:kern w:val="2"/>
          <w:lang w:val="en" w:eastAsia="zh-CN"/>
        </w:rPr>
        <w:t>持续</w:t>
      </w:r>
      <w:r>
        <w:rPr>
          <w:rStyle w:val="10"/>
          <w:rFonts w:hint="eastAsia" w:ascii="仿宋" w:hAnsi="仿宋" w:eastAsia="仿宋" w:cstheme="minorBidi"/>
          <w:kern w:val="2"/>
          <w:lang w:val="en"/>
        </w:rPr>
        <w:t>提</w:t>
      </w:r>
      <w:r>
        <w:rPr>
          <w:rStyle w:val="10"/>
          <w:rFonts w:hint="eastAsia" w:ascii="仿宋" w:hAnsi="仿宋" w:eastAsia="仿宋" w:cstheme="minorBidi"/>
          <w:kern w:val="2"/>
          <w:lang w:val="en" w:eastAsia="zh-CN"/>
        </w:rPr>
        <w:t>升</w:t>
      </w:r>
      <w:r>
        <w:rPr>
          <w:rStyle w:val="10"/>
          <w:rFonts w:hint="eastAsia" w:ascii="仿宋" w:hAnsi="仿宋" w:eastAsia="仿宋" w:cstheme="minorBidi"/>
          <w:kern w:val="2"/>
          <w:lang w:val="en"/>
        </w:rPr>
        <w:t>。</w:t>
      </w:r>
      <w:r>
        <w:rPr>
          <w:rStyle w:val="10"/>
          <w:rFonts w:hint="eastAsia" w:ascii="仿宋" w:hAnsi="仿宋" w:eastAsia="仿宋" w:cstheme="minorBidi"/>
          <w:kern w:val="2"/>
          <w:lang w:val="en-US"/>
        </w:rPr>
        <w:t>牢牢把握意识形态工作主动权</w:t>
      </w:r>
      <w:r>
        <w:rPr>
          <w:rStyle w:val="10"/>
          <w:rFonts w:hint="eastAsia" w:ascii="仿宋" w:hAnsi="仿宋" w:eastAsia="仿宋" w:cstheme="minorBidi"/>
          <w:kern w:val="2"/>
          <w:lang w:val="en-US" w:eastAsia="zh-CN"/>
        </w:rPr>
        <w:t>，</w:t>
      </w:r>
      <w:r>
        <w:rPr>
          <w:rStyle w:val="10"/>
          <w:rFonts w:hint="eastAsia" w:ascii="仿宋" w:hAnsi="仿宋" w:eastAsia="仿宋" w:cstheme="minorBidi"/>
          <w:kern w:val="2"/>
          <w:lang w:val="en" w:eastAsia="zh-CN"/>
        </w:rPr>
        <w:t>利用公园、广场</w:t>
      </w:r>
      <w:r>
        <w:rPr>
          <w:rStyle w:val="10"/>
          <w:rFonts w:hint="eastAsia" w:ascii="仿宋" w:hAnsi="仿宋" w:eastAsia="仿宋" w:cstheme="minorBidi"/>
          <w:kern w:val="2"/>
          <w:lang w:val="en-US" w:eastAsia="zh-CN"/>
        </w:rPr>
        <w:t>宣传栏、灯杆旗、电子屏、小广播等平台</w:t>
      </w:r>
      <w:r>
        <w:rPr>
          <w:rStyle w:val="10"/>
          <w:rFonts w:hint="eastAsia" w:ascii="仿宋" w:hAnsi="仿宋" w:eastAsia="仿宋" w:cstheme="minorBidi"/>
          <w:kern w:val="2"/>
          <w:lang w:eastAsia="zh-CN"/>
        </w:rPr>
        <w:t>唱响主旋律，弘扬正能量。积极开展“我为群众办实事”活动</w:t>
      </w:r>
      <w:r>
        <w:rPr>
          <w:rStyle w:val="10"/>
          <w:rFonts w:hint="eastAsia" w:ascii="仿宋" w:hAnsi="仿宋" w:eastAsia="仿宋" w:cstheme="minorBidi"/>
          <w:kern w:val="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二是加强绿美城市建设。</w:t>
      </w:r>
      <w:r>
        <w:rPr>
          <w:rFonts w:hint="eastAsia" w:ascii="仿宋_GB2312" w:hAnsi="仿宋_GB2312" w:eastAsia="仿宋_GB2312" w:cs="仿宋_GB2312"/>
          <w:b w:val="0"/>
          <w:bCs w:val="0"/>
          <w:sz w:val="32"/>
          <w:szCs w:val="32"/>
          <w:lang w:eastAsia="zh-CN"/>
        </w:rPr>
        <w:t>围绕城市</w:t>
      </w:r>
      <w:r>
        <w:rPr>
          <w:rFonts w:hint="eastAsia" w:ascii="仿宋_GB2312" w:hAnsi="仿宋_GB2312" w:eastAsia="仿宋_GB2312" w:cs="仿宋_GB2312"/>
          <w:b w:val="0"/>
          <w:bCs w:val="0"/>
          <w:sz w:val="32"/>
          <w:szCs w:val="32"/>
          <w:lang w:val="en-US" w:eastAsia="zh-CN"/>
        </w:rPr>
        <w:t>有机</w:t>
      </w:r>
      <w:r>
        <w:rPr>
          <w:rFonts w:hint="eastAsia" w:ascii="仿宋_GB2312" w:hAnsi="仿宋_GB2312" w:eastAsia="仿宋_GB2312" w:cs="仿宋_GB2312"/>
          <w:b w:val="0"/>
          <w:bCs w:val="0"/>
          <w:sz w:val="32"/>
          <w:szCs w:val="32"/>
          <w:lang w:eastAsia="zh-CN"/>
        </w:rPr>
        <w:t>更新，</w:t>
      </w:r>
      <w:r>
        <w:rPr>
          <w:rFonts w:hint="eastAsia" w:ascii="仿宋_GB2312" w:hAnsi="仿宋_GB2312" w:eastAsia="仿宋_GB2312" w:cs="仿宋_GB2312"/>
          <w:b w:val="0"/>
          <w:bCs w:val="0"/>
          <w:sz w:val="32"/>
          <w:szCs w:val="32"/>
          <w:lang w:val="en-US" w:eastAsia="zh-CN"/>
        </w:rPr>
        <w:t>对照三年振兴突破攻坚行动任务，</w:t>
      </w:r>
      <w:r>
        <w:rPr>
          <w:rFonts w:hint="eastAsia" w:ascii="仿宋_GB2312" w:hAnsi="仿宋_GB2312" w:eastAsia="仿宋_GB2312" w:cs="仿宋_GB2312"/>
          <w:sz w:val="32"/>
          <w:szCs w:val="32"/>
          <w:lang w:val="en-US" w:eastAsia="zh-CN"/>
        </w:rPr>
        <w:t>制定实施《绿美长春三年行动计划》，举办首届东北地区城市园林（林业）建设与展望交流研讨会。深入开展城市绿化品质提升及养护管理工作，力争能绿尽绿</w:t>
      </w:r>
      <w:r>
        <w:rPr>
          <w:rFonts w:hint="eastAsia" w:ascii="仿宋_GB2312" w:hAnsi="仿宋_GB2312" w:eastAsia="仿宋_GB2312" w:cs="仿宋_GB2312"/>
          <w:b w:val="0"/>
          <w:bCs w:val="0"/>
          <w:sz w:val="32"/>
          <w:szCs w:val="32"/>
          <w:lang w:val="en-US" w:eastAsia="zh-CN"/>
        </w:rPr>
        <w:t>、提高</w:t>
      </w:r>
      <w:r>
        <w:rPr>
          <w:rFonts w:hint="eastAsia" w:ascii="仿宋_GB2312" w:hAnsi="仿宋_GB2312" w:eastAsia="仿宋_GB2312" w:cs="仿宋_GB2312"/>
          <w:b w:val="0"/>
          <w:bCs w:val="0"/>
          <w:sz w:val="32"/>
          <w:szCs w:val="32"/>
          <w:lang w:eastAsia="zh-CN"/>
        </w:rPr>
        <w:t>景观</w:t>
      </w:r>
      <w:r>
        <w:rPr>
          <w:rFonts w:hint="eastAsia" w:ascii="仿宋_GB2312" w:hAnsi="仿宋_GB2312" w:eastAsia="仿宋_GB2312" w:cs="仿宋_GB2312"/>
          <w:b w:val="0"/>
          <w:bCs w:val="0"/>
          <w:sz w:val="32"/>
          <w:szCs w:val="32"/>
          <w:lang w:val="en-US" w:eastAsia="zh-CN"/>
        </w:rPr>
        <w:t>品质</w:t>
      </w:r>
      <w:r>
        <w:rPr>
          <w:rFonts w:hint="eastAsia" w:ascii="仿宋_GB2312" w:hAnsi="仿宋_GB2312" w:eastAsia="仿宋_GB2312" w:cs="仿宋_GB2312"/>
          <w:sz w:val="32"/>
          <w:szCs w:val="32"/>
          <w:lang w:val="en-US" w:eastAsia="zh-CN"/>
        </w:rPr>
        <w:t>，新建提升改造街路48条、绿地121块、城市绿道100公里，完成同志街（自由大路--工农大路段）过熟杨树街路更新试点工程，完成新建提升口袋公园51处。强化部门间协作，与城管局共同开展小区还绿行动，与教育局共同开展生态校园建设行动，督促各区加强对背街小巷的裸露治理和管护提升。加强</w:t>
      </w:r>
      <w:r>
        <w:rPr>
          <w:rFonts w:hint="eastAsia" w:ascii="仿宋_GB2312" w:hAnsi="仿宋_GB2312" w:eastAsia="仿宋_GB2312" w:cs="仿宋_GB2312"/>
          <w:kern w:val="2"/>
          <w:sz w:val="32"/>
          <w:szCs w:val="32"/>
          <w:lang w:val="en-US" w:eastAsia="zh-CN" w:bidi="ar-SA"/>
        </w:rPr>
        <w:t>科技支撑，通过引种、驯化、设计，运用新的植物品种和建设理念，营建老百姓喜闻乐见的美好生活场景。</w:t>
      </w:r>
    </w:p>
    <w:p>
      <w:pPr>
        <w:pStyle w:val="5"/>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Style w:val="10"/>
          <w:rFonts w:hint="eastAsia" w:ascii="仿宋" w:hAnsi="仿宋" w:eastAsia="仿宋" w:cstheme="minorBidi"/>
          <w:kern w:val="2"/>
          <w:sz w:val="32"/>
          <w:szCs w:val="32"/>
          <w:lang w:val="en-US" w:eastAsia="zh-CN" w:bidi="ar-SA"/>
        </w:rPr>
      </w:pPr>
      <w:r>
        <w:rPr>
          <w:rFonts w:hint="eastAsia" w:ascii="楷体" w:hAnsi="楷体" w:eastAsia="楷体" w:cs="楷体"/>
          <w:b/>
          <w:bCs/>
          <w:sz w:val="32"/>
          <w:szCs w:val="32"/>
          <w:lang w:val="en-US" w:eastAsia="zh-CN"/>
        </w:rPr>
        <w:t>三是持续优化乡村生态。</w:t>
      </w:r>
      <w:r>
        <w:rPr>
          <w:rFonts w:hint="eastAsia" w:ascii="仿宋_GB2312" w:hAnsi="仿宋_GB2312" w:eastAsia="仿宋_GB2312" w:cs="仿宋_GB2312"/>
          <w:kern w:val="2"/>
          <w:sz w:val="32"/>
          <w:szCs w:val="32"/>
          <w:lang w:val="en-US" w:eastAsia="zh-CN" w:bidi="ar-SA"/>
        </w:rPr>
        <w:t>提前超额完成大规模国土绿化年度任务，因地制宜、重点实施“四沿、两补、一提升”工程，全市春季义务植树面积76万余平方米，全年</w:t>
      </w:r>
      <w:r>
        <w:rPr>
          <w:rFonts w:hint="eastAsia" w:ascii="仿宋_GB2312" w:hAnsi="仿宋_GB2312" w:eastAsia="仿宋_GB2312" w:cs="仿宋_GB2312"/>
          <w:kern w:val="1"/>
          <w:sz w:val="32"/>
          <w:szCs w:val="32"/>
          <w:lang w:val="en-US" w:eastAsia="zh-CN" w:bidi="ar-SA"/>
        </w:rPr>
        <w:t>完成大规模国土绿化面积51.3万亩，完成年初确定50万亩总任务的102.6%</w:t>
      </w:r>
      <w:r>
        <w:rPr>
          <w:rStyle w:val="10"/>
          <w:rFonts w:hint="eastAsia" w:ascii="仿宋" w:hAnsi="仿宋" w:eastAsia="仿宋" w:cstheme="minorBidi"/>
          <w:kern w:val="2"/>
          <w:sz w:val="32"/>
          <w:szCs w:val="32"/>
          <w:lang w:val="en-US" w:eastAsia="zh-CN" w:bidi="ar-SA"/>
        </w:rPr>
        <w:t>。</w:t>
      </w:r>
      <w:r>
        <w:rPr>
          <w:rFonts w:hint="eastAsia" w:ascii="仿宋_GB2312" w:hAnsi="仿宋_GB2312" w:eastAsia="仿宋_GB2312" w:cs="仿宋_GB2312"/>
          <w:sz w:val="32"/>
          <w:lang w:val="en-US" w:eastAsia="zh-CN"/>
        </w:rPr>
        <w:t>围绕</w:t>
      </w:r>
      <w:r>
        <w:rPr>
          <w:rFonts w:hint="eastAsia" w:ascii="仿宋_GB2312" w:hAnsi="仿宋_GB2312" w:eastAsia="仿宋_GB2312" w:cs="仿宋_GB2312"/>
          <w:sz w:val="32"/>
          <w:lang w:eastAsia="zh-CN"/>
        </w:rPr>
        <w:t>农村人居环境集中整治，</w:t>
      </w:r>
      <w:r>
        <w:rPr>
          <w:rStyle w:val="10"/>
          <w:rFonts w:hint="eastAsia" w:ascii="仿宋" w:hAnsi="仿宋" w:eastAsia="仿宋" w:cstheme="minorBidi"/>
          <w:kern w:val="2"/>
          <w:sz w:val="32"/>
          <w:szCs w:val="32"/>
          <w:lang w:val="en-US" w:eastAsia="zh-CN" w:bidi="ar-SA"/>
        </w:rPr>
        <w:t>持续扩大绿美村屯建设覆盖范围，充分挖掘村屯四旁和周边绿化潜力，以适地适树、各具特色的绿化，推动农村人居环境明显改善。全年村屯绿化美化建设任务367个，完成1373个，任务完成率达374%，在此基础上，重点打造了绿化美化示范村屯20个、绿化美化提升示范村屯50个，新续建乡（镇）村公园10个，进一步提升乡村生态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theme="minorBidi"/>
          <w:sz w:val="32"/>
          <w:szCs w:val="32"/>
          <w:lang w:val="en-US" w:eastAsia="zh-CN"/>
        </w:rPr>
      </w:pPr>
      <w:r>
        <w:rPr>
          <w:rFonts w:hint="eastAsia" w:ascii="楷体" w:hAnsi="楷体" w:eastAsia="楷体" w:cs="楷体"/>
          <w:b/>
          <w:bCs/>
          <w:sz w:val="32"/>
          <w:szCs w:val="32"/>
          <w:lang w:val="en-US" w:eastAsia="zh-CN"/>
        </w:rPr>
        <w:t>四是提升公园服务品质。</w:t>
      </w:r>
      <w:r>
        <w:rPr>
          <w:rFonts w:hint="eastAsia" w:ascii="仿宋_GB2312" w:hAnsi="仿宋_GB2312" w:eastAsia="仿宋_GB2312" w:cs="仿宋_GB2312"/>
          <w:b w:val="0"/>
          <w:bCs w:val="0"/>
          <w:sz w:val="32"/>
          <w:szCs w:val="32"/>
          <w:lang w:val="en-US" w:eastAsia="zh-CN"/>
        </w:rPr>
        <w:t>针对群众不断增长的休闲游憩空间需求，</w:t>
      </w:r>
      <w:r>
        <w:rPr>
          <w:rStyle w:val="10"/>
          <w:rFonts w:hint="eastAsia" w:ascii="仿宋" w:hAnsi="仿宋" w:eastAsia="仿宋" w:cstheme="minorBidi"/>
          <w:sz w:val="32"/>
          <w:szCs w:val="32"/>
          <w:lang w:val="en-US" w:eastAsia="zh-CN"/>
        </w:rPr>
        <w:t>推进咏春、百草、同心湖三个公园续建工作，咏春公园正在进行元气运动场、儿童活动中心场地混凝土浇筑，</w:t>
      </w:r>
      <w:r>
        <w:rPr>
          <w:rFonts w:hint="eastAsia" w:ascii="仿宋" w:hAnsi="仿宋" w:eastAsia="仿宋" w:cs="仿宋"/>
          <w:b w:val="0"/>
          <w:bCs w:val="0"/>
          <w:sz w:val="32"/>
          <w:szCs w:val="32"/>
          <w:lang w:eastAsia="zh-CN"/>
        </w:rPr>
        <w:t>完成工程总进度的</w:t>
      </w:r>
      <w:r>
        <w:rPr>
          <w:rFonts w:hint="eastAsia" w:ascii="仿宋" w:hAnsi="仿宋" w:eastAsia="仿宋" w:cs="仿宋"/>
          <w:b w:val="0"/>
          <w:bCs w:val="0"/>
          <w:sz w:val="32"/>
          <w:szCs w:val="32"/>
          <w:lang w:val="en-US" w:eastAsia="zh-CN"/>
        </w:rPr>
        <w:t>50%</w:t>
      </w:r>
      <w:r>
        <w:rPr>
          <w:rStyle w:val="10"/>
          <w:rFonts w:hint="eastAsia" w:ascii="仿宋" w:hAnsi="仿宋" w:eastAsia="仿宋" w:cstheme="minorBidi"/>
          <w:sz w:val="32"/>
          <w:szCs w:val="32"/>
          <w:lang w:val="en-US" w:eastAsia="zh-CN"/>
        </w:rPr>
        <w:t>；百草园进行入口主广场基础施工，</w:t>
      </w:r>
      <w:r>
        <w:rPr>
          <w:rFonts w:hint="eastAsia" w:ascii="仿宋" w:hAnsi="仿宋" w:eastAsia="仿宋" w:cs="仿宋"/>
          <w:b w:val="0"/>
          <w:bCs w:val="0"/>
          <w:sz w:val="32"/>
          <w:szCs w:val="32"/>
          <w:lang w:eastAsia="zh-CN"/>
        </w:rPr>
        <w:t>完成工程总进度的</w:t>
      </w:r>
      <w:r>
        <w:rPr>
          <w:rFonts w:hint="eastAsia" w:ascii="仿宋" w:hAnsi="仿宋" w:eastAsia="仿宋" w:cs="仿宋"/>
          <w:b w:val="0"/>
          <w:bCs w:val="0"/>
          <w:sz w:val="32"/>
          <w:szCs w:val="32"/>
          <w:lang w:val="en-US" w:eastAsia="zh-CN"/>
        </w:rPr>
        <w:t>20%</w:t>
      </w:r>
      <w:r>
        <w:rPr>
          <w:rStyle w:val="10"/>
          <w:rFonts w:hint="eastAsia" w:ascii="仿宋" w:hAnsi="仿宋" w:eastAsia="仿宋" w:cstheme="minorBidi"/>
          <w:sz w:val="32"/>
          <w:szCs w:val="32"/>
          <w:lang w:val="en-US" w:eastAsia="zh-CN"/>
        </w:rPr>
        <w:t>；同心湖公园进行管理房梁板混凝土浇筑和景亭钢结构焊接，</w:t>
      </w:r>
      <w:r>
        <w:rPr>
          <w:rFonts w:hint="eastAsia" w:ascii="仿宋" w:hAnsi="仿宋" w:eastAsia="仿宋" w:cs="仿宋"/>
          <w:b w:val="0"/>
          <w:bCs w:val="0"/>
          <w:sz w:val="32"/>
          <w:szCs w:val="32"/>
        </w:rPr>
        <w:t>完成</w:t>
      </w:r>
      <w:r>
        <w:rPr>
          <w:rFonts w:hint="eastAsia" w:ascii="仿宋" w:hAnsi="仿宋" w:eastAsia="仿宋" w:cs="仿宋"/>
          <w:b w:val="0"/>
          <w:bCs w:val="0"/>
          <w:sz w:val="32"/>
          <w:szCs w:val="32"/>
          <w:lang w:eastAsia="zh-CN"/>
        </w:rPr>
        <w:t>工程总进度的</w:t>
      </w:r>
      <w:r>
        <w:rPr>
          <w:rFonts w:hint="eastAsia" w:ascii="仿宋" w:hAnsi="仿宋" w:eastAsia="仿宋" w:cs="仿宋"/>
          <w:b w:val="0"/>
          <w:bCs w:val="0"/>
          <w:sz w:val="32"/>
          <w:szCs w:val="32"/>
          <w:lang w:val="en-US" w:eastAsia="zh-CN"/>
        </w:rPr>
        <w:t>26%</w:t>
      </w:r>
      <w:r>
        <w:rPr>
          <w:rStyle w:val="10"/>
          <w:rFonts w:hint="eastAsia" w:ascii="仿宋" w:hAnsi="仿宋" w:eastAsia="仿宋" w:cstheme="minorBidi"/>
          <w:sz w:val="32"/>
          <w:szCs w:val="32"/>
          <w:lang w:val="en-US" w:eastAsia="zh-CN"/>
        </w:rPr>
        <w:t>。深入落实住建部关于城市公园绿地开放共享的要求，</w:t>
      </w:r>
      <w:r>
        <w:rPr>
          <w:rFonts w:hint="eastAsia" w:ascii="仿宋" w:hAnsi="仿宋" w:eastAsia="仿宋" w:cs="仿宋"/>
          <w:sz w:val="32"/>
          <w:szCs w:val="32"/>
          <w:lang w:val="en-US" w:eastAsia="zh-CN"/>
        </w:rPr>
        <w:t>25块公园绿地试点开放；</w:t>
      </w:r>
      <w:r>
        <w:rPr>
          <w:rFonts w:hint="eastAsia" w:ascii="仿宋" w:hAnsi="仿宋" w:eastAsia="仿宋" w:cs="仿宋"/>
          <w:sz w:val="32"/>
          <w:szCs w:val="32"/>
          <w:lang w:val="en" w:eastAsia="zh-CN"/>
        </w:rPr>
        <w:t>实施“公园</w:t>
      </w:r>
      <w:r>
        <w:rPr>
          <w:rFonts w:hint="eastAsia" w:ascii="仿宋" w:hAnsi="仿宋" w:eastAsia="仿宋" w:cs="仿宋"/>
          <w:sz w:val="32"/>
          <w:szCs w:val="32"/>
          <w:lang w:val="en-US" w:eastAsia="zh-CN"/>
        </w:rPr>
        <w:t>+</w:t>
      </w:r>
      <w:r>
        <w:rPr>
          <w:rFonts w:hint="eastAsia" w:ascii="仿宋" w:hAnsi="仿宋" w:eastAsia="仿宋" w:cs="仿宋"/>
          <w:sz w:val="32"/>
          <w:szCs w:val="32"/>
          <w:lang w:val="en" w:eastAsia="zh-CN"/>
        </w:rPr>
        <w:t>”发展战略，</w:t>
      </w:r>
      <w:r>
        <w:rPr>
          <w:rStyle w:val="10"/>
          <w:rFonts w:hint="eastAsia" w:ascii="仿宋" w:hAnsi="仿宋" w:eastAsia="仿宋" w:cstheme="minorBidi"/>
          <w:sz w:val="32"/>
          <w:szCs w:val="32"/>
          <w:lang w:val="en-US" w:eastAsia="zh-CN"/>
        </w:rPr>
        <w:t>加快公园业态模式的探索创新，建设儿童友好型公园，</w:t>
      </w:r>
      <w:r>
        <w:rPr>
          <w:rFonts w:hint="eastAsia" w:ascii="仿宋" w:hAnsi="仿宋" w:eastAsia="仿宋" w:cs="仿宋"/>
          <w:sz w:val="32"/>
          <w:szCs w:val="32"/>
          <w:lang w:val="en" w:eastAsia="zh-CN"/>
        </w:rPr>
        <w:t>完善公园配套服务项目及设施，与市体育局进行合作，进行公园健身器材的升级改造，更换和新建600多套体育健身器材，</w:t>
      </w:r>
      <w:r>
        <w:rPr>
          <w:rFonts w:hint="eastAsia" w:ascii="仿宋" w:hAnsi="仿宋" w:eastAsia="仿宋" w:cs="仿宋"/>
          <w:sz w:val="32"/>
          <w:szCs w:val="32"/>
        </w:rPr>
        <w:t>部分</w:t>
      </w:r>
      <w:r>
        <w:rPr>
          <w:rFonts w:hint="eastAsia" w:ascii="仿宋" w:hAnsi="仿宋" w:eastAsia="仿宋" w:cs="仿宋"/>
          <w:sz w:val="32"/>
          <w:szCs w:val="32"/>
          <w:lang w:val="en-US" w:eastAsia="zh-CN"/>
        </w:rPr>
        <w:t>公园公厕</w:t>
      </w:r>
      <w:r>
        <w:rPr>
          <w:rFonts w:hint="eastAsia" w:ascii="仿宋" w:hAnsi="仿宋" w:eastAsia="仿宋" w:cs="仿宋"/>
          <w:sz w:val="32"/>
          <w:szCs w:val="32"/>
        </w:rPr>
        <w:t>点位全天24小时</w:t>
      </w:r>
      <w:r>
        <w:rPr>
          <w:rFonts w:hint="eastAsia" w:ascii="仿宋" w:hAnsi="仿宋" w:eastAsia="仿宋" w:cs="仿宋"/>
          <w:sz w:val="32"/>
          <w:szCs w:val="32"/>
          <w:lang w:eastAsia="zh-CN"/>
        </w:rPr>
        <w:t>开放，</w:t>
      </w:r>
      <w:r>
        <w:rPr>
          <w:rFonts w:hint="eastAsia" w:ascii="仿宋" w:hAnsi="仿宋" w:eastAsia="仿宋" w:cs="仿宋"/>
          <w:sz w:val="32"/>
          <w:szCs w:val="32"/>
          <w:lang w:val="en" w:eastAsia="zh-CN"/>
        </w:rPr>
        <w:t>提升游客游园的满意度和幸福感。</w:t>
      </w:r>
      <w:r>
        <w:rPr>
          <w:rStyle w:val="10"/>
          <w:rFonts w:hint="eastAsia" w:ascii="仿宋" w:hAnsi="仿宋" w:eastAsia="仿宋" w:cstheme="minorBidi"/>
          <w:sz w:val="32"/>
          <w:szCs w:val="32"/>
          <w:lang w:val="en-US" w:eastAsia="zh-CN"/>
        </w:rPr>
        <w:t>全年累计举办各类主题文化活动100余项，其中动植物公园西游主题火爆出圈，新华社《新华每日电讯》5版以《建设更多的中华文化主题公园》为题点赞长春“西游主题公园”。“梦幻西游季·夜游动物园”主题系列活动，连续3天占据抖音全国热搜榜第一；在获得央视86版《西游记》版权的全国首家授权后，“逐梦西游记 夜游动物园”项目于2023年12月30日再次推出，元旦假期三天接待游客4万余人，夜游项目累计接待游客近百万。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bCs/>
          <w:sz w:val="32"/>
          <w:szCs w:val="32"/>
          <w:lang w:val="en-US" w:eastAsia="zh-CN"/>
        </w:rPr>
        <w:t>五是提升森林资源管护抚育。</w:t>
      </w:r>
      <w:r>
        <w:rPr>
          <w:rStyle w:val="10"/>
          <w:rFonts w:hint="eastAsia" w:ascii="仿宋" w:hAnsi="仿宋" w:eastAsia="仿宋" w:cstheme="minorBidi"/>
          <w:kern w:val="2"/>
          <w:sz w:val="32"/>
          <w:szCs w:val="32"/>
          <w:lang w:val="en-US" w:eastAsia="zh-CN" w:bidi="ar-SA"/>
        </w:rPr>
        <w:t>全面完成省林长制改革目标任务，设立市、县、乡、村林长信息公示牌，全面加强“三带”管理工作，加大林业科技创新力度，召开全市林长工作会议。加强林业和园林有害生物防控，巩固生态建设成果，组织开展松林春秋普查和日常巡查，完成省林草局“变色立木天空地协同遥感监管平台”的遥感监测任务，点位核查率达到100%。持续开展森林督查工作，严格核查国家森林督查疑似变化图斑。建立林业行政执法队伍，</w:t>
      </w:r>
      <w:r>
        <w:rPr>
          <w:rFonts w:hint="eastAsia" w:ascii="仿宋_GB2312" w:eastAsia="仿宋_GB2312"/>
          <w:sz w:val="32"/>
          <w:szCs w:val="32"/>
        </w:rPr>
        <w:t>取缔自发形成的鸟类非法交易市场，全年救助野生动物5</w:t>
      </w:r>
      <w:r>
        <w:rPr>
          <w:rFonts w:ascii="仿宋_GB2312" w:eastAsia="仿宋_GB2312"/>
          <w:sz w:val="32"/>
          <w:szCs w:val="32"/>
        </w:rPr>
        <w:t>00</w:t>
      </w:r>
      <w:r>
        <w:rPr>
          <w:rFonts w:hint="eastAsia" w:ascii="仿宋_GB2312" w:eastAsia="仿宋_GB2312"/>
          <w:sz w:val="32"/>
          <w:szCs w:val="32"/>
        </w:rPr>
        <w:t>余只</w:t>
      </w:r>
      <w:r>
        <w:rPr>
          <w:rStyle w:val="10"/>
          <w:rFonts w:hint="eastAsia" w:ascii="仿宋" w:hAnsi="仿宋" w:eastAsia="仿宋" w:cstheme="minorBidi"/>
          <w:kern w:val="2"/>
          <w:sz w:val="32"/>
          <w:szCs w:val="32"/>
          <w:lang w:val="en-US" w:eastAsia="zh-CN" w:bidi="ar-SA"/>
        </w:rPr>
        <w:t>。积极主动配合第二轮省环保督察检查，属实转办信访案件6件全部办结。</w:t>
      </w:r>
      <w:r>
        <w:rPr>
          <w:rFonts w:hint="eastAsia" w:ascii="仿宋" w:hAnsi="仿宋" w:eastAsia="仿宋" w:cs="仿宋"/>
          <w:sz w:val="32"/>
          <w:szCs w:val="32"/>
          <w:lang w:val="en-US" w:eastAsia="zh-CN"/>
        </w:rPr>
        <w:t>构建</w:t>
      </w:r>
      <w:r>
        <w:rPr>
          <w:rFonts w:hint="eastAsia" w:ascii="仿宋" w:hAnsi="仿宋" w:eastAsia="仿宋" w:cs="仿宋"/>
          <w:sz w:val="32"/>
          <w:szCs w:val="32"/>
        </w:rPr>
        <w:t>森林防灾减灾体系，</w:t>
      </w:r>
      <w:r>
        <w:rPr>
          <w:rFonts w:hint="eastAsia" w:ascii="仿宋" w:hAnsi="仿宋" w:eastAsia="仿宋" w:cs="仿宋"/>
          <w:sz w:val="32"/>
          <w:szCs w:val="32"/>
          <w:lang w:val="en-US" w:eastAsia="zh-CN"/>
        </w:rPr>
        <w:t>有力处置4.2九台森林火灾，</w:t>
      </w:r>
      <w:r>
        <w:rPr>
          <w:rFonts w:hint="eastAsia" w:ascii="仿宋" w:hAnsi="仿宋" w:eastAsia="仿宋" w:cs="仿宋"/>
          <w:sz w:val="32"/>
          <w:szCs w:val="32"/>
          <w:lang w:eastAsia="zh-CN"/>
        </w:rPr>
        <w:t>全力抓好重要时间节点和净</w:t>
      </w:r>
      <w:r>
        <w:rPr>
          <w:rFonts w:hint="eastAsia" w:ascii="仿宋_GB2312" w:hAnsi="仿宋_GB2312" w:eastAsia="仿宋_GB2312" w:cs="仿宋_GB2312"/>
          <w:sz w:val="32"/>
          <w:szCs w:val="32"/>
          <w:lang w:eastAsia="zh-CN"/>
        </w:rPr>
        <w:t>月、莲花山、双阳等重点部位的森林防火工作，</w:t>
      </w:r>
      <w:r>
        <w:rPr>
          <w:rFonts w:hint="eastAsia" w:ascii="仿宋_GB2312" w:hAnsi="仿宋_GB2312" w:eastAsia="仿宋_GB2312" w:cs="仿宋_GB2312"/>
          <w:sz w:val="32"/>
          <w:szCs w:val="32"/>
          <w:highlight w:val="none"/>
          <w:lang w:val="en-US" w:eastAsia="zh-CN"/>
        </w:rPr>
        <w:t>连续43年全市未发生重大森林火灾。</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2"/>
          <w:lang w:val="en-US" w:eastAsia="zh-CN" w:bidi="ar-SA"/>
        </w:rPr>
        <w:t>六是服务中心发展大局。</w:t>
      </w:r>
      <w:r>
        <w:rPr>
          <w:rFonts w:hint="eastAsia" w:ascii="仿宋" w:hAnsi="仿宋" w:eastAsia="仿宋" w:cs="仿宋"/>
          <w:sz w:val="32"/>
          <w:szCs w:val="32"/>
          <w:lang w:val="en-US" w:eastAsia="zh-CN"/>
        </w:rPr>
        <w:t>充分发挥部门职能和优势，全力做好各项工作，以高标准服务助力全市经济社会高质量发展。</w:t>
      </w:r>
      <w:r>
        <w:rPr>
          <w:rFonts w:hint="eastAsia" w:ascii="仿宋" w:hAnsi="仿宋" w:eastAsia="仿宋" w:cs="仿宋"/>
          <w:b/>
          <w:bCs/>
          <w:sz w:val="32"/>
          <w:szCs w:val="32"/>
          <w:lang w:val="en-US" w:eastAsia="zh-CN"/>
        </w:rPr>
        <w:t>优化行政审批服务。</w:t>
      </w:r>
      <w:r>
        <w:rPr>
          <w:rFonts w:hint="eastAsia" w:ascii="仿宋_GB2312" w:eastAsia="仿宋_GB2312"/>
          <w:sz w:val="32"/>
          <w:szCs w:val="32"/>
        </w:rPr>
        <w:t>不断深化审批制度改革，提高行政审批效率，</w:t>
      </w:r>
      <w:r>
        <w:rPr>
          <w:rFonts w:hint="eastAsia" w:ascii="仿宋_GB2312" w:eastAsia="仿宋_GB2312"/>
          <w:sz w:val="32"/>
          <w:szCs w:val="32"/>
          <w:lang w:val="en-US" w:eastAsia="zh-CN"/>
        </w:rPr>
        <w:t>全年</w:t>
      </w:r>
      <w:r>
        <w:rPr>
          <w:rFonts w:hint="eastAsia" w:ascii="仿宋_GB2312" w:eastAsia="仿宋_GB2312"/>
          <w:sz w:val="32"/>
          <w:szCs w:val="32"/>
        </w:rPr>
        <w:t>办理各类审批审核事项779件，办事时限整体下调至法定时限的20%，所有事项办事时长均不超过3天，部分事项已调整为“即办”，事项办结率和群众满意率均达100%，配合规自部门完成城市规划调整十余次；协调各城区积极配合建委、交通等部门开展新能源汽车换电站、交通治堵等工作，缓解城市交通压力。</w:t>
      </w:r>
      <w:r>
        <w:rPr>
          <w:rFonts w:hint="eastAsia" w:ascii="仿宋" w:hAnsi="仿宋" w:eastAsia="仿宋" w:cs="仿宋"/>
          <w:b/>
          <w:bCs/>
          <w:sz w:val="32"/>
          <w:szCs w:val="32"/>
          <w:lang w:val="en-US" w:eastAsia="zh-CN"/>
        </w:rPr>
        <w:t>严格落实安全生产责任。</w:t>
      </w:r>
      <w:r>
        <w:rPr>
          <w:rFonts w:hint="eastAsia" w:ascii="仿宋" w:hAnsi="仿宋" w:eastAsia="仿宋" w:cs="仿宋"/>
          <w:sz w:val="32"/>
          <w:szCs w:val="32"/>
          <w:lang w:val="en-US" w:eastAsia="zh-CN"/>
        </w:rPr>
        <w:t>建立健全维护全市各领域国家安全工作和防范重大风险工作机制，严厉打击破坏自然保护区、林地、湿地和草原等违法行为。提前筹备、提级应对雨雪冰冻特殊天气，加强枯死树枝处理，加强自建房整治和落实公园游艺设施安全管理责任，未发生安全生产责任事故。</w:t>
      </w:r>
      <w:r>
        <w:rPr>
          <w:rFonts w:hint="eastAsia" w:ascii="仿宋" w:hAnsi="仿宋" w:eastAsia="仿宋" w:cs="仿宋"/>
          <w:b/>
          <w:bCs/>
          <w:sz w:val="32"/>
          <w:szCs w:val="32"/>
          <w:lang w:val="en-US" w:eastAsia="zh-CN"/>
        </w:rPr>
        <w:t>全面助力乡村振兴。</w:t>
      </w:r>
      <w:r>
        <w:rPr>
          <w:rFonts w:hint="eastAsia" w:ascii="仿宋" w:hAnsi="仿宋" w:eastAsia="仿宋" w:cs="仿宋"/>
          <w:sz w:val="32"/>
          <w:szCs w:val="32"/>
          <w:lang w:val="en-US" w:eastAsia="zh-CN"/>
        </w:rPr>
        <w:t>有效巩固脱贫成果，协调开展农安县西五里界村、三间村的包保工作，努力促进包保贫困村从脱贫攻坚向乡村振兴有效衔接和过渡。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楷体" w:hAnsi="楷体" w:eastAsia="楷体" w:cs="楷体"/>
          <w:b/>
          <w:bCs/>
          <w:kern w:val="2"/>
          <w:sz w:val="32"/>
          <w:szCs w:val="32"/>
          <w:lang w:val="en-US" w:eastAsia="zh-CN" w:bidi="ar-SA"/>
        </w:rPr>
        <w:t>七是加强党风廉政建设。</w:t>
      </w:r>
      <w:r>
        <w:rPr>
          <w:rFonts w:hint="eastAsia" w:ascii="仿宋" w:hAnsi="仿宋" w:eastAsia="仿宋" w:cs="仿宋"/>
          <w:b/>
          <w:bCs/>
          <w:sz w:val="32"/>
          <w:szCs w:val="32"/>
          <w:lang w:val="en-US" w:eastAsia="zh-CN"/>
        </w:rPr>
        <w:t>全面接受市委常规巡察。</w:t>
      </w:r>
      <w:r>
        <w:rPr>
          <w:rFonts w:hint="eastAsia" w:ascii="仿宋" w:hAnsi="仿宋" w:eastAsia="仿宋" w:cs="仿宋"/>
          <w:b w:val="0"/>
          <w:bCs w:val="0"/>
          <w:sz w:val="32"/>
          <w:szCs w:val="32"/>
          <w:lang w:val="en-US" w:eastAsia="zh-CN"/>
        </w:rPr>
        <w:t>围绕“三聚焦一落实”深入查找自身存在问题，梳理9个方面、36个具体问题。推动完成巡察组转办信访问题7个，立行立改问题4个。巡察期间，因落实巡察任务不到位及党员干部工作纪律问题，给予提醒谈话处理1人次，批评教育处理5人次。</w:t>
      </w:r>
      <w:r>
        <w:rPr>
          <w:rFonts w:hint="eastAsia" w:ascii="仿宋" w:hAnsi="仿宋" w:eastAsia="仿宋" w:cs="仿宋"/>
          <w:b/>
          <w:bCs/>
          <w:sz w:val="32"/>
          <w:szCs w:val="32"/>
          <w:lang w:val="en-US" w:eastAsia="zh-CN"/>
        </w:rPr>
        <w:t>压实管党治党责任。</w:t>
      </w:r>
      <w:r>
        <w:rPr>
          <w:rFonts w:hint="eastAsia" w:ascii="仿宋" w:hAnsi="仿宋" w:eastAsia="仿宋" w:cs="仿宋"/>
          <w:b w:val="0"/>
          <w:bCs w:val="0"/>
          <w:sz w:val="32"/>
          <w:szCs w:val="32"/>
          <w:lang w:val="en-US" w:eastAsia="zh-CN"/>
        </w:rPr>
        <w:t>坚持贯彻落实党的二十大关于全面从严治党的战略部署，牢固树立党员干部纪律意识和规矩意识，把党章党规作为林园系统各级党组织理论学习的必修课。高质量开展习近平新时代中国特色社会主义思想主题教育，教育引导党员干部拥护“两个确立”、做到“两个维护”。坚持压实管党治党责任，党组班子召开专题议党会议5次，党风廉政会议3次，定期分析研判形势，部署贯彻落实举措。严格落实“一把手”主体责任、班子成员“一岗双责”，推动基层党组织书记履行全面从严治党责任。</w:t>
      </w:r>
      <w:r>
        <w:rPr>
          <w:rFonts w:hint="eastAsia" w:ascii="仿宋" w:hAnsi="仿宋" w:eastAsia="仿宋" w:cs="仿宋"/>
          <w:b/>
          <w:bCs/>
          <w:sz w:val="32"/>
          <w:szCs w:val="32"/>
          <w:lang w:val="en-US" w:eastAsia="zh-CN"/>
        </w:rPr>
        <w:t>强化监督执纪。</w:t>
      </w:r>
      <w:r>
        <w:rPr>
          <w:rFonts w:hint="eastAsia" w:ascii="仿宋" w:hAnsi="仿宋" w:eastAsia="仿宋" w:cs="仿宋"/>
          <w:b w:val="0"/>
          <w:bCs w:val="0"/>
          <w:sz w:val="32"/>
          <w:szCs w:val="32"/>
          <w:lang w:val="en-US" w:eastAsia="zh-CN"/>
        </w:rPr>
        <w:t>坚持贯彻落实中央八项规定及其实施细则精神，经常性深入局属基层单位开展监督检查。开展公车领域“四查四看”专项行动，严肃整治党员干部和公职人员酒驾醉驾行为，深挖细查背后的“四风”问题，建立党员干部酒驾醉驾报备机制，查办问题线索1件，拟给予党内警告处分1人次。开展干部作风大整顿，对照“六个一批”要求，以“四不两直”等形式，开展监督检查23次。加强工程招投标监督管理，建立完善招标代理机构选定机制，综合运用平台化管理、综合性评定的原则，有效规避围标串标风险。强化对基层党组织负责人贯彻执行民主集中制、“三重一大”事项、依规依法履职用权等情况监督。</w:t>
      </w:r>
      <w:r>
        <w:rPr>
          <w:rFonts w:hint="eastAsia" w:ascii="仿宋" w:hAnsi="仿宋" w:eastAsia="仿宋" w:cs="仿宋"/>
          <w:b/>
          <w:bCs/>
          <w:sz w:val="32"/>
          <w:szCs w:val="32"/>
          <w:lang w:val="en-US" w:eastAsia="zh-CN"/>
        </w:rPr>
        <w:t>突出廉政教育。</w:t>
      </w:r>
      <w:r>
        <w:rPr>
          <w:rFonts w:hint="eastAsia" w:ascii="仿宋" w:hAnsi="仿宋" w:eastAsia="仿宋" w:cs="仿宋"/>
          <w:b w:val="0"/>
          <w:bCs w:val="0"/>
          <w:sz w:val="32"/>
          <w:szCs w:val="32"/>
          <w:lang w:val="en-US" w:eastAsia="zh-CN"/>
        </w:rPr>
        <w:t>深化运用违法违纪干部忏悔录、《代价》、《警醒2023》等典型案例，持续提升一体推进“三不腐”的能力。深刻汲取周亚昆违法违纪案件教训，党组会议通报案件有关人员处分决定，利用“身边事”警示教育“身边人”。坚持推进新时代廉政文化建设，在市纪委监委指导下，精心打造廉洁文化主题公园——梨花园，通过将廉洁文化元素与林园行业特色的有机融合，营造了良好的廉洁文化氛围。</w:t>
      </w:r>
      <w:r>
        <w:rPr>
          <w:rFonts w:hint="eastAsia" w:ascii="仿宋" w:hAnsi="仿宋" w:eastAsia="仿宋" w:cs="仿宋"/>
          <w:b/>
          <w:bCs/>
          <w:sz w:val="32"/>
          <w:szCs w:val="32"/>
          <w:lang w:val="en-US" w:eastAsia="zh-CN"/>
        </w:rPr>
        <w:t>加强干部队伍建设。</w:t>
      </w:r>
      <w:r>
        <w:rPr>
          <w:rFonts w:hint="eastAsia" w:ascii="仿宋" w:hAnsi="仿宋" w:eastAsia="仿宋" w:cs="仿宋"/>
          <w:color w:val="000000"/>
          <w:sz w:val="32"/>
          <w:szCs w:val="32"/>
          <w:lang w:val="en-US" w:eastAsia="zh-CN" w:bidi="ar-SA"/>
        </w:rPr>
        <w:t>全面</w:t>
      </w:r>
      <w:r>
        <w:rPr>
          <w:rFonts w:hint="eastAsia" w:ascii="仿宋_GB2312" w:hAnsi="仿宋_GB2312" w:eastAsia="仿宋_GB2312" w:cs="仿宋_GB2312"/>
          <w:b w:val="0"/>
          <w:bCs w:val="0"/>
          <w:sz w:val="32"/>
          <w:szCs w:val="32"/>
          <w:lang w:val="en-US" w:eastAsia="zh-CN"/>
        </w:rPr>
        <w:t>贯彻落实市委“双百双千双万”工程，</w:t>
      </w:r>
      <w:r>
        <w:rPr>
          <w:rFonts w:hint="eastAsia" w:ascii="仿宋" w:hAnsi="仿宋" w:eastAsia="仿宋" w:cs="仿宋"/>
          <w:color w:val="000000"/>
          <w:sz w:val="32"/>
          <w:szCs w:val="32"/>
          <w:lang w:val="en-US" w:eastAsia="zh-CN" w:bidi="ar-SA"/>
        </w:rPr>
        <w:t>严格执行《党政领导干部选拔任用工作条例》，</w:t>
      </w:r>
      <w:r>
        <w:rPr>
          <w:rFonts w:hint="eastAsia" w:ascii="仿宋_GB2312" w:hAnsi="仿宋_GB2312" w:eastAsia="仿宋_GB2312" w:cs="仿宋_GB2312"/>
          <w:b w:val="0"/>
          <w:bCs w:val="0"/>
          <w:sz w:val="32"/>
          <w:szCs w:val="32"/>
          <w:lang w:val="en-US" w:eastAsia="zh-CN"/>
        </w:rPr>
        <w:t>扎实推动干部年轻化相关工作，坚持“好中选优”，</w:t>
      </w:r>
      <w:r>
        <w:rPr>
          <w:rFonts w:hint="eastAsia" w:ascii="仿宋" w:hAnsi="仿宋" w:eastAsia="仿宋" w:cs="仿宋"/>
          <w:b w:val="0"/>
          <w:bCs/>
          <w:kern w:val="1"/>
          <w:sz w:val="32"/>
          <w:szCs w:val="32"/>
        </w:rPr>
        <w:t>加强干部监督，开展随机抽查和重点抽查，全年个人事项报告核查一致率</w:t>
      </w:r>
      <w:r>
        <w:rPr>
          <w:rFonts w:hint="eastAsia" w:ascii="仿宋" w:hAnsi="仿宋" w:eastAsia="仿宋" w:cs="仿宋"/>
          <w:b w:val="0"/>
          <w:bCs/>
          <w:kern w:val="1"/>
          <w:sz w:val="32"/>
          <w:szCs w:val="32"/>
          <w:lang w:val="en-US" w:eastAsia="zh-CN"/>
        </w:rPr>
        <w:t>达到</w:t>
      </w:r>
      <w:r>
        <w:rPr>
          <w:rFonts w:hint="eastAsia" w:ascii="仿宋" w:hAnsi="仿宋" w:eastAsia="仿宋" w:cs="仿宋"/>
          <w:b w:val="0"/>
          <w:bCs/>
          <w:kern w:val="1"/>
          <w:sz w:val="32"/>
          <w:szCs w:val="32"/>
        </w:rPr>
        <w:t>100%</w:t>
      </w:r>
      <w:r>
        <w:rPr>
          <w:rFonts w:hint="eastAsia" w:ascii="仿宋" w:hAnsi="仿宋" w:eastAsia="仿宋" w:cs="仿宋"/>
          <w:b w:val="0"/>
          <w:bCs/>
          <w:kern w:val="1"/>
          <w:sz w:val="32"/>
          <w:szCs w:val="32"/>
          <w:lang w:eastAsia="zh-CN"/>
        </w:rPr>
        <w:t>。</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2024年工作计划</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lang w:val="en-US" w:eastAsia="zh-CN"/>
        </w:rPr>
        <w:t>2024年，</w:t>
      </w:r>
      <w:r>
        <w:rPr>
          <w:rFonts w:hint="eastAsia" w:ascii="仿宋_GB2312" w:hAnsi="仿宋_GB2312" w:eastAsia="仿宋_GB2312" w:cs="仿宋_GB2312"/>
          <w:sz w:val="32"/>
          <w:lang w:val="en-US" w:eastAsia="zh-CN"/>
        </w:rPr>
        <w:t>市林业和园林</w:t>
      </w:r>
      <w:r>
        <w:rPr>
          <w:rFonts w:hint="eastAsia" w:ascii="仿宋_GB2312" w:hAnsi="仿宋_GB2312" w:cs="仿宋_GB2312"/>
          <w:sz w:val="32"/>
          <w:lang w:val="en-US" w:eastAsia="zh-CN"/>
        </w:rPr>
        <w:t>局将持续深入贯彻落实党的二十大精神，瞄定三年振兴突破行动计划工作目标，始终</w:t>
      </w:r>
      <w:r>
        <w:rPr>
          <w:rFonts w:hint="eastAsia" w:ascii="仿宋_GB2312" w:hAnsi="仿宋_GB2312" w:eastAsia="仿宋_GB2312" w:cs="仿宋_GB2312"/>
          <w:sz w:val="32"/>
          <w:lang w:val="en-US" w:eastAsia="zh-CN"/>
        </w:rPr>
        <w:t>坚持文化引领，</w:t>
      </w:r>
      <w:r>
        <w:rPr>
          <w:rFonts w:hint="eastAsia" w:ascii="仿宋_GB2312" w:hAnsi="仿宋_GB2312" w:cs="仿宋_GB2312"/>
          <w:sz w:val="32"/>
          <w:lang w:val="en-US" w:eastAsia="zh-CN"/>
        </w:rPr>
        <w:t>聚焦生态主业，聚焦满足人民群众美好生活需要，聚焦人与自然和谐共生，科学谋划各项工作，推动各项工作进一步提标、提速、提质、提效</w:t>
      </w:r>
      <w:r>
        <w:rPr>
          <w:rFonts w:hint="eastAsia" w:ascii="仿宋_GB2312" w:hAnsi="仿宋_GB2312" w:eastAsia="仿宋_GB2312" w:cs="仿宋_GB2312"/>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一是推进全域科学增绿。</w:t>
      </w:r>
      <w:r>
        <w:rPr>
          <w:rFonts w:hint="eastAsia" w:ascii="仿宋_GB2312" w:hAnsi="仿宋_GB2312" w:eastAsia="仿宋_GB2312" w:cs="仿宋_GB2312"/>
          <w:kern w:val="2"/>
          <w:sz w:val="32"/>
          <w:szCs w:val="24"/>
          <w:lang w:val="en-US" w:eastAsia="zh-CN" w:bidi="ar-SA"/>
        </w:rPr>
        <w:t>在今年基础上，继续实施第</w:t>
      </w:r>
      <w:r>
        <w:rPr>
          <w:rFonts w:hint="eastAsia" w:ascii="仿宋_GB2312" w:hAnsi="仿宋_GB2312" w:cs="仿宋_GB2312"/>
          <w:kern w:val="2"/>
          <w:sz w:val="32"/>
          <w:szCs w:val="24"/>
          <w:lang w:val="en-US" w:eastAsia="zh-CN" w:bidi="ar-SA"/>
        </w:rPr>
        <w:t>三</w:t>
      </w:r>
      <w:r>
        <w:rPr>
          <w:rFonts w:hint="eastAsia" w:ascii="仿宋_GB2312" w:hAnsi="仿宋_GB2312" w:eastAsia="仿宋_GB2312" w:cs="仿宋_GB2312"/>
          <w:kern w:val="2"/>
          <w:sz w:val="32"/>
          <w:szCs w:val="24"/>
          <w:lang w:val="en-US" w:eastAsia="zh-CN" w:bidi="ar-SA"/>
        </w:rPr>
        <w:t>轮50万亩大规模国土绿化行动，</w:t>
      </w:r>
      <w:r>
        <w:rPr>
          <w:rFonts w:hint="eastAsia" w:ascii="仿宋_GB2312" w:hAnsi="仿宋_GB2312" w:cs="仿宋_GB2312"/>
          <w:b w:val="0"/>
          <w:bCs w:val="0"/>
          <w:sz w:val="32"/>
          <w:szCs w:val="32"/>
          <w:lang w:eastAsia="zh-CN"/>
        </w:rPr>
        <w:t>落实乡村建设行动，持续扩大绿美村屯建设覆盖范围，探索研究村屯绿美整体提升办法，计划明年建设绿化美化村屯120个，改善提升绿化村屯240个，在此基础上，支持建设精品绿美村屯10个。充分挖掘村屯四旁和周边绿化潜力，以适地适树、各具特色的绿化，推动农村人居环境明显改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 w:hAnsi="楷体" w:eastAsia="楷体" w:cs="楷体"/>
          <w:b/>
          <w:bCs/>
          <w:sz w:val="32"/>
          <w:szCs w:val="32"/>
          <w:lang w:val="en-US" w:eastAsia="zh-CN"/>
        </w:rPr>
        <w:t>二是加强城市绿化美化。</w:t>
      </w:r>
      <w:r>
        <w:rPr>
          <w:rFonts w:hint="eastAsia" w:ascii="仿宋_GB2312" w:hAnsi="仿宋_GB2312" w:cs="仿宋_GB2312"/>
          <w:b w:val="0"/>
          <w:bCs w:val="0"/>
          <w:sz w:val="32"/>
          <w:szCs w:val="32"/>
          <w:lang w:val="en-US" w:eastAsia="zh-CN"/>
        </w:rPr>
        <w:t>进一步</w:t>
      </w:r>
      <w:r>
        <w:rPr>
          <w:rFonts w:hint="eastAsia" w:ascii="仿宋_GB2312" w:hAnsi="仿宋_GB2312" w:eastAsia="仿宋_GB2312" w:cs="仿宋_GB2312"/>
          <w:b w:val="0"/>
          <w:bCs w:val="0"/>
          <w:sz w:val="32"/>
          <w:szCs w:val="32"/>
          <w:lang w:val="en-US" w:eastAsia="zh-CN"/>
        </w:rPr>
        <w:t>完善</w:t>
      </w:r>
      <w:r>
        <w:rPr>
          <w:rFonts w:hint="eastAsia" w:ascii="仿宋_GB2312" w:hAnsi="仿宋_GB2312" w:eastAsia="仿宋_GB2312" w:cs="仿宋_GB2312"/>
          <w:sz w:val="32"/>
          <w:szCs w:val="32"/>
          <w:lang w:eastAsia="zh-CN"/>
        </w:rPr>
        <w:t>城市绿道体系，</w:t>
      </w:r>
      <w:r>
        <w:rPr>
          <w:rFonts w:hint="eastAsia" w:ascii="仿宋_GB2312" w:hAnsi="仿宋_GB2312" w:eastAsia="仿宋_GB2312" w:cs="仿宋_GB2312"/>
          <w:bCs/>
          <w:sz w:val="32"/>
          <w:szCs w:val="32"/>
          <w:lang w:val="en-US" w:eastAsia="zh-CN"/>
        </w:rPr>
        <w:t>着力实施街路绿化和大块绿地</w:t>
      </w:r>
      <w:r>
        <w:rPr>
          <w:rFonts w:hint="eastAsia" w:ascii="仿宋_GB2312" w:hAnsi="仿宋_GB2312" w:eastAsia="仿宋_GB2312" w:cs="仿宋_GB2312"/>
          <w:b w:val="0"/>
          <w:bCs w:val="0"/>
          <w:sz w:val="32"/>
          <w:szCs w:val="32"/>
          <w:lang w:val="en-US" w:eastAsia="zh-CN"/>
        </w:rPr>
        <w:t>建设，计划</w:t>
      </w:r>
      <w:r>
        <w:rPr>
          <w:rFonts w:hint="eastAsia" w:ascii="仿宋_GB2312" w:hAnsi="仿宋_GB2312" w:cs="仿宋_GB2312"/>
          <w:b w:val="0"/>
          <w:bCs w:val="0"/>
          <w:sz w:val="32"/>
          <w:szCs w:val="32"/>
          <w:lang w:val="en-US" w:eastAsia="zh-CN"/>
        </w:rPr>
        <w:t>以断头路为重点，</w:t>
      </w:r>
      <w:r>
        <w:rPr>
          <w:rFonts w:hint="eastAsia" w:ascii="仿宋_GB2312" w:hAnsi="仿宋_GB2312" w:eastAsia="仿宋_GB2312" w:cs="仿宋_GB2312"/>
          <w:b w:val="0"/>
          <w:bCs w:val="0"/>
          <w:sz w:val="32"/>
          <w:szCs w:val="32"/>
          <w:lang w:val="en-US" w:eastAsia="zh-CN"/>
        </w:rPr>
        <w:t>建设</w:t>
      </w:r>
      <w:r>
        <w:rPr>
          <w:rFonts w:hint="eastAsia" w:ascii="仿宋_GB2312" w:hAnsi="仿宋_GB2312" w:cs="仿宋_GB2312"/>
          <w:b w:val="0"/>
          <w:bCs w:val="0"/>
          <w:sz w:val="32"/>
          <w:szCs w:val="32"/>
          <w:lang w:val="en-US" w:eastAsia="zh-CN"/>
        </w:rPr>
        <w:t>城市</w:t>
      </w:r>
      <w:r>
        <w:rPr>
          <w:rFonts w:hint="eastAsia" w:ascii="仿宋_GB2312" w:hAnsi="仿宋_GB2312" w:eastAsia="仿宋_GB2312" w:cs="仿宋_GB2312"/>
          <w:b w:val="0"/>
          <w:bCs w:val="0"/>
          <w:sz w:val="32"/>
          <w:szCs w:val="32"/>
          <w:lang w:val="en-US" w:eastAsia="zh-CN"/>
        </w:rPr>
        <w:t>绿道50公里</w:t>
      </w:r>
      <w:r>
        <w:rPr>
          <w:rFonts w:hint="eastAsia" w:ascii="仿宋_GB2312" w:hAnsi="仿宋_GB2312" w:cs="仿宋_GB2312"/>
          <w:b w:val="0"/>
          <w:bCs w:val="0"/>
          <w:sz w:val="32"/>
          <w:szCs w:val="32"/>
          <w:lang w:val="en-US" w:eastAsia="zh-CN"/>
        </w:rPr>
        <w:t>以上，科学推进树木更新换代，</w:t>
      </w:r>
      <w:r>
        <w:rPr>
          <w:rFonts w:hint="eastAsia" w:ascii="仿宋_GB2312" w:hAnsi="仿宋_GB2312" w:eastAsia="仿宋_GB2312" w:cs="仿宋_GB2312"/>
          <w:sz w:val="32"/>
          <w:szCs w:val="32"/>
          <w:lang w:eastAsia="zh-CN"/>
        </w:rPr>
        <w:t>实施新民大街历史街区新民大街景观提升工程</w:t>
      </w:r>
      <w:r>
        <w:rPr>
          <w:rFonts w:hint="eastAsia" w:ascii="仿宋_GB2312" w:hAnsi="仿宋_GB2312" w:cs="仿宋_GB2312"/>
          <w:sz w:val="32"/>
          <w:szCs w:val="32"/>
          <w:lang w:eastAsia="zh-CN"/>
        </w:rPr>
        <w:t>，</w:t>
      </w:r>
      <w:r>
        <w:rPr>
          <w:rFonts w:hint="eastAsia" w:ascii="仿宋_GB2312" w:hAnsi="仿宋_GB2312" w:cs="仿宋_GB2312"/>
          <w:b w:val="0"/>
          <w:bCs w:val="0"/>
          <w:sz w:val="32"/>
          <w:szCs w:val="32"/>
          <w:lang w:val="en-US" w:eastAsia="zh-CN"/>
        </w:rPr>
        <w:t>选取2-3条街路进行过熟杨柳树更新改造，持续打造特色“示范友好街区”，</w:t>
      </w:r>
      <w:r>
        <w:rPr>
          <w:rFonts w:hint="eastAsia" w:ascii="仿宋_GB2312" w:hAnsi="仿宋_GB2312" w:eastAsia="仿宋_GB2312" w:cs="仿宋_GB2312"/>
          <w:bCs/>
          <w:sz w:val="32"/>
          <w:szCs w:val="32"/>
          <w:lang w:val="en-US" w:eastAsia="zh-CN"/>
        </w:rPr>
        <w:t>力争城市绿地能绿尽绿。</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26" w:firstLineChars="195"/>
        <w:jc w:val="both"/>
        <w:textAlignment w:val="auto"/>
        <w:rPr>
          <w:rFonts w:hint="default" w:ascii="仿宋_GB2312" w:hAnsi="仿宋_GB2312" w:eastAsia="仿宋_GB2312" w:cs="仿宋_GB2312"/>
          <w:bCs/>
          <w:sz w:val="32"/>
          <w:szCs w:val="32"/>
          <w:lang w:val="en-US" w:eastAsia="zh-CN"/>
        </w:rPr>
      </w:pPr>
      <w:r>
        <w:rPr>
          <w:rFonts w:hint="eastAsia" w:ascii="楷体" w:hAnsi="楷体" w:eastAsia="楷体" w:cs="楷体"/>
          <w:b/>
          <w:bCs/>
          <w:kern w:val="2"/>
          <w:sz w:val="32"/>
          <w:szCs w:val="32"/>
          <w:lang w:val="en-US" w:eastAsia="zh-CN" w:bidi="ar-SA"/>
        </w:rPr>
        <w:t>三是提升公园服务能力。</w:t>
      </w:r>
      <w:r>
        <w:rPr>
          <w:rFonts w:hint="eastAsia" w:ascii="仿宋_GB2312" w:hAnsi="仿宋_GB2312" w:eastAsia="仿宋_GB2312" w:cs="仿宋_GB2312"/>
          <w:bCs/>
          <w:sz w:val="32"/>
          <w:szCs w:val="32"/>
          <w:lang w:val="en-US" w:eastAsia="zh-CN"/>
        </w:rPr>
        <w:t>快速推进同心湖、咏春、百草等公园续建工作，预计到2024年末投入使用。建设提升、均衡布局社区公园、“口袋公园”、小微绿地，计划建设提升口袋公园40处以上。谋划建设赛车主题体育公园。加强与中央广播电视总台合作，全面</w:t>
      </w:r>
      <w:r>
        <w:rPr>
          <w:rFonts w:hint="eastAsia" w:ascii="仿宋" w:hAnsi="仿宋" w:eastAsia="仿宋" w:cs="仿宋"/>
          <w:sz w:val="32"/>
          <w:szCs w:val="32"/>
          <w:lang w:val="en-US" w:eastAsia="zh-CN"/>
        </w:rPr>
        <w:t>打造具有中国传统文化特色、全国唯一正版授权的“西游记主题公园”，扩大夜游项目影响力</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lang w:val="en-US"/>
        </w:rPr>
      </w:pPr>
      <w:r>
        <w:rPr>
          <w:rFonts w:hint="eastAsia" w:ascii="楷体" w:hAnsi="楷体" w:eastAsia="楷体" w:cs="楷体"/>
          <w:b/>
          <w:bCs/>
          <w:kern w:val="2"/>
          <w:sz w:val="32"/>
          <w:szCs w:val="32"/>
          <w:lang w:val="en-US" w:eastAsia="zh-CN" w:bidi="ar-SA"/>
        </w:rPr>
        <w:t>四是强化资源管护抚育。</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以全面推行林（草）长制为依托，</w:t>
      </w:r>
      <w:r>
        <w:rPr>
          <w:rFonts w:hint="eastAsia" w:ascii="仿宋_GB2312" w:hAnsi="仿宋_GB2312" w:eastAsia="仿宋_GB2312" w:cs="仿宋_GB2312"/>
          <w:sz w:val="32"/>
          <w:szCs w:val="32"/>
          <w:lang w:val="en-US" w:eastAsia="zh-CN"/>
        </w:rPr>
        <w:t>广泛开展全民义务植树和企业认建认养，坚持山水林田湖草沙一体化保护和系统治理，编制森林防火规划。谋划争取国家储备林项目，支持国有林场和大型企业，通过新建林地带配套产业的方式争取国家政策和资金支持，努力实现</w:t>
      </w:r>
      <w:bookmarkStart w:id="0" w:name="_GoBack"/>
      <w:bookmarkEnd w:id="0"/>
      <w:r>
        <w:rPr>
          <w:rFonts w:hint="eastAsia" w:ascii="仿宋_GB2312" w:hAnsi="仿宋_GB2312" w:eastAsia="仿宋_GB2312" w:cs="仿宋_GB2312"/>
          <w:sz w:val="32"/>
          <w:szCs w:val="32"/>
          <w:lang w:val="en-US" w:eastAsia="zh-CN"/>
        </w:rPr>
        <w:t>森林面积和林业产业的同步提升。积极争取森林防火专项资金，进一步压实森林防火、安全生产责任，全力保障生态安全。</w:t>
      </w:r>
    </w:p>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010E4"/>
    <w:multiLevelType w:val="singleLevel"/>
    <w:tmpl w:val="831010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YWQxNDljYjZjNmRhOGJmNDk2ZGJkNzc2MDU4ZDMifQ=="/>
  </w:docVars>
  <w:rsids>
    <w:rsidRoot w:val="417F409F"/>
    <w:rsid w:val="05231007"/>
    <w:rsid w:val="417F409F"/>
    <w:rsid w:val="41980AAB"/>
    <w:rsid w:val="5B1F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黑体"/>
    </w:rPr>
  </w:style>
  <w:style w:type="paragraph" w:styleId="3">
    <w:name w:val="Body Text Indent"/>
    <w:basedOn w:val="1"/>
    <w:qFormat/>
    <w:uiPriority w:val="0"/>
    <w:pPr>
      <w:ind w:left="435" w:leftChars="207"/>
    </w:pPr>
  </w:style>
  <w:style w:type="paragraph" w:styleId="4">
    <w:name w:val="footer"/>
    <w:basedOn w:val="1"/>
    <w:next w:val="1"/>
    <w:autoRedefine/>
    <w:qFormat/>
    <w:uiPriority w:val="99"/>
    <w:pPr>
      <w:tabs>
        <w:tab w:val="center" w:pos="4153"/>
        <w:tab w:val="right" w:pos="8306"/>
      </w:tabs>
      <w:snapToGrid w:val="0"/>
      <w:jc w:val="left"/>
    </w:pPr>
    <w:rPr>
      <w:sz w:val="18"/>
      <w:szCs w:val="18"/>
    </w:rPr>
  </w:style>
  <w:style w:type="paragraph" w:styleId="5">
    <w:name w:val="footnote text"/>
    <w:basedOn w:val="1"/>
    <w:autoRedefine/>
    <w:unhideWhenUsed/>
    <w:qFormat/>
    <w:uiPriority w:val="0"/>
    <w:pPr>
      <w:snapToGrid w:val="0"/>
      <w:jc w:val="left"/>
    </w:pPr>
    <w:rPr>
      <w:sz w:val="18"/>
      <w:szCs w:val="18"/>
    </w:rPr>
  </w:style>
  <w:style w:type="paragraph" w:styleId="6">
    <w:name w:val="Body Text First Indent 2"/>
    <w:basedOn w:val="3"/>
    <w:autoRedefine/>
    <w:qFormat/>
    <w:uiPriority w:val="99"/>
    <w:pPr>
      <w:ind w:firstLine="420" w:firstLineChars="200"/>
    </w:pPr>
  </w:style>
  <w:style w:type="character" w:styleId="9">
    <w:name w:val="page number"/>
    <w:basedOn w:val="8"/>
    <w:qFormat/>
    <w:uiPriority w:val="99"/>
    <w:rPr>
      <w:rFonts w:cs="Times New Roman"/>
    </w:rPr>
  </w:style>
  <w:style w:type="character" w:customStyle="1" w:styleId="10">
    <w:name w:val="NormalCharacter"/>
    <w:autoRedefine/>
    <w:semiHidden/>
    <w:qFormat/>
    <w:uiPriority w:val="0"/>
    <w:rPr>
      <w:rFonts w:ascii="Tahoma" w:hAnsi="Tahoma" w:eastAsia="微软雅黑"/>
      <w:sz w:val="32"/>
      <w:szCs w:val="32"/>
      <w:lang w:val="en-US" w:eastAsia="zh-CN" w:bidi="ar-SA"/>
    </w:rPr>
  </w:style>
  <w:style w:type="paragraph" w:customStyle="1" w:styleId="11">
    <w:name w:val="正文-公1"/>
    <w:basedOn w:val="1"/>
    <w:next w:val="1"/>
    <w:qFormat/>
    <w:uiPriority w:val="0"/>
    <w:pPr>
      <w:ind w:firstLine="200" w:firstLineChars="200"/>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2023-12-07T05:45:00Z</dcterms:created>
  <dc:creator>Relax</dc:creator>
  <cp:lastModifiedBy>Relax</cp:lastModifiedBy>
  <cp:lastPrinted>2024-01-04T07:57:33Z</cp:lastPrinted>
  <dcterms:modified xsi:type="dcterms:W3CDTF">2024-01-04T07:57:49Z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AD89EBE38B224E23B640C3D818D8B6B3_11</vt:lpwstr>
  </property>
</Properties>
</file>